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7A63" w14:textId="77777777" w:rsidR="00AC3622" w:rsidRPr="00752FCB" w:rsidRDefault="0025256A" w:rsidP="00AC3622">
      <w:pPr>
        <w:pStyle w:val="Introduction"/>
        <w:spacing w:before="180" w:after="180"/>
      </w:pPr>
      <w:r>
        <w:br/>
      </w:r>
      <w:r w:rsidR="00AC3622" w:rsidRPr="00752FCB">
        <w:t xml:space="preserve">The </w:t>
      </w:r>
      <w:r w:rsidR="00AC3622" w:rsidRPr="00DA40A7">
        <w:rPr>
          <w:i/>
          <w:iCs/>
        </w:rPr>
        <w:t>Commonwealth of Australia v Tasmania</w:t>
      </w:r>
      <w:r w:rsidR="00AC3622" w:rsidRPr="00752FCB">
        <w:t xml:space="preserve">—known informally as the Tasmanian Dams Case—is one of the most famous constitutional cases in Australian history. The High Court’s interpretation of the Australian Constitution in this case set a precedent for the Australian Parliament to make laws to fulfil Australia’s international legal obligations.  </w:t>
      </w:r>
    </w:p>
    <w:p w14:paraId="056EBE95" w14:textId="7215457F" w:rsidR="008B6872" w:rsidRPr="00D42243" w:rsidRDefault="008B6872" w:rsidP="00101340">
      <w:pPr>
        <w:pStyle w:val="Introduction"/>
      </w:pPr>
      <w:r>
        <w:rPr>
          <w:noProof/>
        </w:rPr>
        <mc:AlternateContent>
          <mc:Choice Requires="wps">
            <w:drawing>
              <wp:anchor distT="0" distB="0" distL="114300" distR="114300" simplePos="0" relativeHeight="251658240" behindDoc="0" locked="0" layoutInCell="1" allowOverlap="1" wp14:anchorId="35180303" wp14:editId="561EACA1">
                <wp:simplePos x="0" y="0"/>
                <wp:positionH relativeFrom="column">
                  <wp:posOffset>-8890</wp:posOffset>
                </wp:positionH>
                <wp:positionV relativeFrom="paragraph">
                  <wp:posOffset>146685</wp:posOffset>
                </wp:positionV>
                <wp:extent cx="6083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D8DF655"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1.55pt" to="478.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RX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" strokecolor="#006d8d [3044]"/>
            </w:pict>
          </mc:Fallback>
        </mc:AlternateContent>
      </w:r>
    </w:p>
    <w:p w14:paraId="7C304389" w14:textId="2DB5E09B" w:rsidR="00755DDD" w:rsidRPr="00494D7C" w:rsidRDefault="00755DDD" w:rsidP="008B6872">
      <w:pPr>
        <w:rPr>
          <w:b/>
          <w:bCs/>
        </w:rPr>
      </w:pPr>
      <w:r w:rsidRPr="00494D7C">
        <w:rPr>
          <w:b/>
          <w:bCs/>
        </w:rPr>
        <w:t xml:space="preserve">The following case study will analyse the case by breaking it into </w:t>
      </w:r>
      <w:r w:rsidR="00AC3622">
        <w:rPr>
          <w:b/>
          <w:bCs/>
        </w:rPr>
        <w:t>4</w:t>
      </w:r>
      <w:r w:rsidRPr="00494D7C">
        <w:rPr>
          <w:b/>
          <w:bCs/>
        </w:rPr>
        <w:t xml:space="preserve"> parts: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25" w:type="dxa"/>
        </w:tblCellMar>
        <w:tblLook w:val="04A0" w:firstRow="1" w:lastRow="0" w:firstColumn="1" w:lastColumn="0" w:noHBand="0" w:noVBand="1"/>
      </w:tblPr>
      <w:tblGrid>
        <w:gridCol w:w="2407"/>
        <w:gridCol w:w="2407"/>
        <w:gridCol w:w="2407"/>
        <w:gridCol w:w="2407"/>
      </w:tblGrid>
      <w:tr w:rsidR="008B6872" w14:paraId="6F5C1782" w14:textId="77777777" w:rsidTr="008B6872">
        <w:tc>
          <w:tcPr>
            <w:tcW w:w="2407" w:type="dxa"/>
          </w:tcPr>
          <w:p w14:paraId="72313FEF" w14:textId="442021D7" w:rsidR="00A14F36" w:rsidRDefault="00A14F36" w:rsidP="00A14F36">
            <w:pPr>
              <w:pStyle w:val="Heading2"/>
              <w:spacing w:before="120"/>
            </w:pPr>
            <w:r>
              <w:t>Facts</w:t>
            </w:r>
          </w:p>
          <w:p w14:paraId="63D01C7B" w14:textId="5EA848E7" w:rsidR="008B6872" w:rsidRDefault="008B6872" w:rsidP="008B6872">
            <w:r w:rsidRPr="00D42243">
              <w:rPr>
                <w:rFonts w:asciiTheme="majorHAnsi" w:hAnsiTheme="majorHAnsi"/>
              </w:rPr>
              <w:t>A brief overview of the relevant facts that lead to the case appearing in the High Court.</w:t>
            </w:r>
          </w:p>
        </w:tc>
        <w:tc>
          <w:tcPr>
            <w:tcW w:w="2407" w:type="dxa"/>
          </w:tcPr>
          <w:p w14:paraId="760E8246" w14:textId="77777777" w:rsidR="008B6872" w:rsidRDefault="008B6872" w:rsidP="008B6872">
            <w:pPr>
              <w:pStyle w:val="Heading2"/>
              <w:spacing w:before="120"/>
            </w:pPr>
            <w:r w:rsidRPr="00D42243">
              <w:t>Issues</w:t>
            </w:r>
          </w:p>
          <w:p w14:paraId="41E17C64" w14:textId="5EA28234" w:rsidR="008B6872" w:rsidRPr="008B6872" w:rsidRDefault="008B6872" w:rsidP="008B6872">
            <w:pPr>
              <w:spacing w:before="60" w:after="60"/>
              <w:rPr>
                <w:rFonts w:asciiTheme="majorHAnsi" w:hAnsiTheme="majorHAnsi"/>
              </w:rPr>
            </w:pPr>
            <w:r w:rsidRPr="00D42243">
              <w:rPr>
                <w:rFonts w:asciiTheme="majorHAnsi" w:hAnsiTheme="majorHAnsi"/>
              </w:rPr>
              <w:t>The key questions about the Australia</w:t>
            </w:r>
            <w:r w:rsidR="004E5D0D">
              <w:rPr>
                <w:rFonts w:asciiTheme="majorHAnsi" w:hAnsiTheme="majorHAnsi"/>
              </w:rPr>
              <w:t>n</w:t>
            </w:r>
            <w:r w:rsidRPr="00D42243">
              <w:rPr>
                <w:rFonts w:asciiTheme="majorHAnsi" w:hAnsiTheme="majorHAnsi"/>
              </w:rPr>
              <w:t xml:space="preserve"> Constitution the High Court had to consider. </w:t>
            </w:r>
          </w:p>
        </w:tc>
        <w:tc>
          <w:tcPr>
            <w:tcW w:w="2407" w:type="dxa"/>
          </w:tcPr>
          <w:p w14:paraId="033DB0FF" w14:textId="77777777" w:rsidR="008B6872" w:rsidRDefault="008B6872" w:rsidP="008B6872">
            <w:pPr>
              <w:pStyle w:val="Heading2"/>
              <w:spacing w:before="120"/>
            </w:pPr>
            <w:r w:rsidRPr="00D42243">
              <w:t>Verdict</w:t>
            </w:r>
          </w:p>
          <w:p w14:paraId="6E669046" w14:textId="7B68EC49" w:rsidR="008B6872" w:rsidRPr="00D42243" w:rsidRDefault="008B6872" w:rsidP="008B6872">
            <w:pPr>
              <w:spacing w:before="60" w:after="60"/>
              <w:rPr>
                <w:rFonts w:asciiTheme="majorHAnsi" w:hAnsiTheme="majorHAnsi"/>
              </w:rPr>
            </w:pPr>
            <w:r w:rsidRPr="00D42243">
              <w:rPr>
                <w:rFonts w:asciiTheme="majorHAnsi" w:hAnsiTheme="majorHAnsi"/>
              </w:rPr>
              <w:t xml:space="preserve">The decision made by a majority of the High Court in order to resolve the case. </w:t>
            </w:r>
          </w:p>
          <w:p w14:paraId="026DDCC7" w14:textId="77777777" w:rsidR="008B6872" w:rsidRDefault="008B6872" w:rsidP="008B6872"/>
        </w:tc>
        <w:tc>
          <w:tcPr>
            <w:tcW w:w="2407" w:type="dxa"/>
            <w:tcMar>
              <w:right w:w="0" w:type="dxa"/>
            </w:tcMar>
          </w:tcPr>
          <w:p w14:paraId="5AFA4C3C" w14:textId="77777777" w:rsidR="008B6872" w:rsidRDefault="008B6872" w:rsidP="008B6872">
            <w:pPr>
              <w:pStyle w:val="Heading2"/>
              <w:spacing w:before="120"/>
            </w:pPr>
            <w:r w:rsidRPr="00D42243">
              <w:t>Reasoning</w:t>
            </w:r>
          </w:p>
          <w:p w14:paraId="4BBB669B" w14:textId="71184CAB" w:rsidR="008B6872" w:rsidRDefault="008B6872" w:rsidP="008B6872">
            <w:r w:rsidRPr="00D42243">
              <w:rPr>
                <w:rFonts w:asciiTheme="majorHAnsi" w:hAnsiTheme="majorHAnsi"/>
              </w:rPr>
              <w:t>The High Court’s explanation for why they arrived at the verdict they did</w:t>
            </w:r>
            <w:r w:rsidR="00AC3622">
              <w:rPr>
                <w:rFonts w:asciiTheme="majorHAnsi" w:hAnsiTheme="majorHAnsi"/>
              </w:rPr>
              <w:t>.</w:t>
            </w:r>
          </w:p>
        </w:tc>
      </w:tr>
    </w:tbl>
    <w:p w14:paraId="6A4D1506" w14:textId="2A2C7FE4" w:rsidR="008B6872" w:rsidRDefault="008B6872" w:rsidP="008B6872">
      <w:r>
        <w:rPr>
          <w:noProof/>
        </w:rPr>
        <mc:AlternateContent>
          <mc:Choice Requires="wps">
            <w:drawing>
              <wp:anchor distT="0" distB="0" distL="114300" distR="114300" simplePos="0" relativeHeight="251658241" behindDoc="0" locked="0" layoutInCell="1" allowOverlap="1" wp14:anchorId="08331936" wp14:editId="49613BB3">
                <wp:simplePos x="0" y="0"/>
                <wp:positionH relativeFrom="margin">
                  <wp:posOffset>0</wp:posOffset>
                </wp:positionH>
                <wp:positionV relativeFrom="paragraph">
                  <wp:posOffset>139700</wp:posOffset>
                </wp:positionV>
                <wp:extent cx="60833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B4229CA" id="Straight Connector 1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11pt" to="4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RX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" strokecolor="#006d8d [3044]">
                <w10:wrap anchorx="margin"/>
              </v:line>
            </w:pict>
          </mc:Fallback>
        </mc:AlternateContent>
      </w:r>
    </w:p>
    <w:p w14:paraId="717B846D" w14:textId="1D3A8D57" w:rsidR="00755DDD" w:rsidRPr="00101340" w:rsidRDefault="00755DDD" w:rsidP="00494D7C">
      <w:pPr>
        <w:pStyle w:val="Heading1"/>
        <w:spacing w:before="480"/>
      </w:pPr>
      <w:r w:rsidRPr="00D42243">
        <w:t>The Commonwealth of Australia v Tasmania (1983)</w:t>
      </w:r>
    </w:p>
    <w:p w14:paraId="2A943A24" w14:textId="77777777" w:rsidR="00755DDD" w:rsidRPr="00D42243" w:rsidRDefault="00755DDD" w:rsidP="008B6872">
      <w:pPr>
        <w:pStyle w:val="Heading2"/>
        <w:spacing w:before="120"/>
      </w:pPr>
      <w:r w:rsidRPr="00101340">
        <w:t>Facts</w:t>
      </w:r>
    </w:p>
    <w:p w14:paraId="56D666D7" w14:textId="77777777" w:rsidR="00AC3622" w:rsidRPr="00AC3622" w:rsidRDefault="00AC3622" w:rsidP="00AC3622">
      <w:r w:rsidRPr="00AC3622">
        <w:t xml:space="preserve">In 1978, the Tasmanian Government proposed to construct the Franklin Dam on the Gordon River. The dam would have flooded a large section of the Franklin River in south-west Tasmania: an area which, in 1982, was declared a World Heritage Site by the United Nations. The same year, the Tasmanian Parliament passed laws allowing the dam to proceed. </w:t>
      </w:r>
    </w:p>
    <w:p w14:paraId="7A341E71" w14:textId="77777777" w:rsidR="00AC3622" w:rsidRPr="00AC3622" w:rsidRDefault="00AC3622" w:rsidP="00AC3622">
      <w:r w:rsidRPr="00AC3622">
        <w:t xml:space="preserve">In 1983, when initial construction for the dam had already commenced, the Australian Parliament passed the </w:t>
      </w:r>
      <w:r w:rsidRPr="00AC3622">
        <w:rPr>
          <w:i/>
          <w:iCs/>
        </w:rPr>
        <w:t>World Heritage Properties Conservation Act 1983</w:t>
      </w:r>
      <w:r w:rsidRPr="00AC3622">
        <w:t xml:space="preserve">. The Act allowed the Australian Government to stop clearing, excavation and other activities that would damage the Tasmanian World Heritage site. </w:t>
      </w:r>
    </w:p>
    <w:p w14:paraId="3C80DB2C" w14:textId="77777777" w:rsidR="00AC3622" w:rsidRPr="00AC3622" w:rsidRDefault="00AC3622" w:rsidP="00AC3622">
      <w:r w:rsidRPr="00AC3622">
        <w:t xml:space="preserve">The Tasmanian Government ignored the new Australian law and refused to halt construction of the dam. The Australian Government commenced proceedings against Tasmania in the High Court. </w:t>
      </w:r>
    </w:p>
    <w:p w14:paraId="027ED65A" w14:textId="77777777" w:rsidR="00755DDD" w:rsidRPr="00D42243" w:rsidRDefault="00755DDD" w:rsidP="008B6872">
      <w:pPr>
        <w:pStyle w:val="Heading2"/>
      </w:pPr>
      <w:r w:rsidRPr="00D42243">
        <w:t xml:space="preserve">Issues </w:t>
      </w:r>
    </w:p>
    <w:p w14:paraId="0CBDF292" w14:textId="77777777" w:rsidR="00AC3622" w:rsidRPr="00AC3622" w:rsidRDefault="00AC3622" w:rsidP="00AC3622">
      <w:r w:rsidRPr="00AC3622">
        <w:t xml:space="preserve">The High Court had to decide whether the </w:t>
      </w:r>
      <w:r w:rsidRPr="00AC3622">
        <w:rPr>
          <w:i/>
          <w:iCs/>
        </w:rPr>
        <w:t>World Heritage Properties Conservation Act 1983</w:t>
      </w:r>
      <w:r w:rsidRPr="00AC3622">
        <w:t xml:space="preserve"> was a valid Australian law.  </w:t>
      </w:r>
    </w:p>
    <w:p w14:paraId="6E0F85EE" w14:textId="76549338" w:rsidR="00AC3622" w:rsidRPr="00AC3622" w:rsidRDefault="00AC3622" w:rsidP="00AC3622">
      <w:r w:rsidRPr="00AC3622">
        <w:t>A central question was whether the power to make the law could be granted by section 51</w:t>
      </w:r>
      <w:r w:rsidR="004E5D0D">
        <w:t xml:space="preserve"> </w:t>
      </w:r>
      <w:r w:rsidRPr="00AC3622">
        <w:t xml:space="preserve">(xxix) of the Constitution, which gives the Australian Parliament the power to make laws ‘with respect to … external affairs.’ </w:t>
      </w:r>
    </w:p>
    <w:p w14:paraId="6491F2D2" w14:textId="6AEAAB09" w:rsidR="00AC3622" w:rsidRPr="00AC3622" w:rsidRDefault="00AC3622" w:rsidP="00AC3622">
      <w:r w:rsidRPr="00AC3622">
        <w:t>According to precedent</w:t>
      </w:r>
      <w:r w:rsidR="0017558B">
        <w:t xml:space="preserve"> – </w:t>
      </w:r>
      <w:r w:rsidRPr="00AC3622">
        <w:t>past</w:t>
      </w:r>
      <w:r w:rsidR="0017558B">
        <w:t xml:space="preserve"> - </w:t>
      </w:r>
      <w:r w:rsidRPr="00AC3622">
        <w:t xml:space="preserve">cases, the scope of the ‘external affairs’ power was unclear. Did the Australian Parliament have the power to make laws to fulfil its obligations under international treaties such as the World Heritage Convention? </w:t>
      </w:r>
    </w:p>
    <w:p w14:paraId="04915CC0" w14:textId="77777777" w:rsidR="00755DDD" w:rsidRPr="00D42243" w:rsidRDefault="00755DDD" w:rsidP="008B6872">
      <w:pPr>
        <w:pStyle w:val="Heading2"/>
      </w:pPr>
      <w:r w:rsidRPr="00D42243">
        <w:lastRenderedPageBreak/>
        <w:t>Verdict</w:t>
      </w:r>
    </w:p>
    <w:p w14:paraId="176E5395" w14:textId="77777777" w:rsidR="00AC3622" w:rsidRPr="00AC3622" w:rsidRDefault="00AC3622" w:rsidP="00AC3622">
      <w:r w:rsidRPr="00AC3622">
        <w:t xml:space="preserve">The 7 justices of the High Court split 4 to 3 to decide that the Australian Parliament did have the constitutional power to make the </w:t>
      </w:r>
      <w:r w:rsidRPr="00AC3622">
        <w:rPr>
          <w:i/>
          <w:iCs/>
        </w:rPr>
        <w:t>World Heritage Properties Conservation Act 1983</w:t>
      </w:r>
      <w:r w:rsidRPr="00AC3622">
        <w:t xml:space="preserve">. The law was valid and the Tasmanian Government needed to stop construction of the Franklin Dam. </w:t>
      </w:r>
    </w:p>
    <w:p w14:paraId="2D8B43D6" w14:textId="77777777" w:rsidR="00755DDD" w:rsidRPr="00D42243" w:rsidRDefault="00755DDD" w:rsidP="008B6872">
      <w:pPr>
        <w:pStyle w:val="Heading2"/>
      </w:pPr>
      <w:r w:rsidRPr="00D42243">
        <w:t>Reasoning</w:t>
      </w:r>
    </w:p>
    <w:p w14:paraId="69C2C2C2" w14:textId="1B69E088" w:rsidR="00AC3622" w:rsidRPr="00AC3622" w:rsidRDefault="00AC3622" w:rsidP="00AC3622">
      <w:r w:rsidRPr="00AC3622">
        <w:t>In their majority judgement, the Court found the Australian Parliament could create laws to meet its international treaty obligations under Section51</w:t>
      </w:r>
      <w:r w:rsidR="004E5D0D">
        <w:t xml:space="preserve"> </w:t>
      </w:r>
      <w:r w:rsidRPr="00AC3622">
        <w:t xml:space="preserve">(xxix) of the Constitution. </w:t>
      </w:r>
    </w:p>
    <w:p w14:paraId="6FB68C4D" w14:textId="11182375" w:rsidR="00AC3622" w:rsidRPr="00AC3622" w:rsidRDefault="00AC3622" w:rsidP="00AC3622">
      <w:r w:rsidRPr="00AC3622">
        <w:t>The use of the term ‘external affairs’ was deliberately broad. There were few international organisations in existence when the Constitution was written in 1901</w:t>
      </w:r>
      <w:r w:rsidR="00877D87">
        <w:t>, for example, t</w:t>
      </w:r>
      <w:r w:rsidRPr="00AC3622">
        <w:t>he United Nations was not established until 1945</w:t>
      </w:r>
      <w:r w:rsidR="00BB61D0">
        <w:t>.</w:t>
      </w:r>
      <w:r w:rsidRPr="00AC3622">
        <w:t xml:space="preserve"> To participate fully in international affairs in the modern era, the Court reasoned the Australian Government needed the power to not only sign international treaties but to put their obligations under those treaties into action. </w:t>
      </w:r>
      <w:r w:rsidRPr="00AC3622">
        <w:rPr>
          <w:i/>
          <w:iCs/>
        </w:rPr>
        <w:t>The World Heritage Properties Conservation Act 1983</w:t>
      </w:r>
      <w:r w:rsidRPr="00AC3622">
        <w:t xml:space="preserve"> was a valid law because it put into action Australia’s obligations under the World Heritage Convention.</w:t>
      </w:r>
    </w:p>
    <w:p w14:paraId="6850515B" w14:textId="77777777" w:rsidR="008B6872" w:rsidRPr="00D42243" w:rsidRDefault="008B6872" w:rsidP="008B6872"/>
    <w:tbl>
      <w:tblPr>
        <w:tblStyle w:val="TableGrid"/>
        <w:tblW w:w="0" w:type="auto"/>
        <w:tblBorders>
          <w:top w:val="single" w:sz="8" w:space="0" w:color="007495" w:themeColor="accent1"/>
          <w:left w:val="single" w:sz="8" w:space="0" w:color="007495" w:themeColor="accent1"/>
          <w:bottom w:val="single" w:sz="8" w:space="0" w:color="007495" w:themeColor="accent1"/>
          <w:right w:val="single" w:sz="8" w:space="0" w:color="007495" w:themeColor="accent1"/>
          <w:insideH w:val="single" w:sz="8" w:space="0" w:color="007495" w:themeColor="accent1"/>
          <w:insideV w:val="single" w:sz="8" w:space="0" w:color="007495" w:themeColor="accent1"/>
        </w:tblBorders>
        <w:tblCellMar>
          <w:top w:w="227" w:type="dxa"/>
          <w:left w:w="397" w:type="dxa"/>
          <w:bottom w:w="340" w:type="dxa"/>
          <w:right w:w="510" w:type="dxa"/>
        </w:tblCellMar>
        <w:tblLook w:val="04A0" w:firstRow="1" w:lastRow="0" w:firstColumn="1" w:lastColumn="0" w:noHBand="0" w:noVBand="1"/>
      </w:tblPr>
      <w:tblGrid>
        <w:gridCol w:w="9618"/>
      </w:tblGrid>
      <w:tr w:rsidR="00755DDD" w14:paraId="79EA2161" w14:textId="77777777" w:rsidTr="00494D7C">
        <w:tc>
          <w:tcPr>
            <w:tcW w:w="10456" w:type="dxa"/>
          </w:tcPr>
          <w:p w14:paraId="3947E931" w14:textId="77777777" w:rsidR="00755DDD" w:rsidRPr="00D42243" w:rsidRDefault="00755DDD" w:rsidP="00494D7C">
            <w:pPr>
              <w:pStyle w:val="Heading3"/>
              <w:spacing w:after="120"/>
            </w:pPr>
            <w:r>
              <w:br w:type="page"/>
            </w:r>
            <w:r w:rsidRPr="00D42243">
              <w:t>The legacy of the Tasmanian Dams Case</w:t>
            </w:r>
          </w:p>
          <w:p w14:paraId="770A8DBB" w14:textId="77777777" w:rsidR="00AC3622" w:rsidRPr="00AC3622" w:rsidRDefault="00AC3622" w:rsidP="00AC3622">
            <w:r w:rsidRPr="00AC3622">
              <w:t xml:space="preserve">The Tasmanian Dams Case significantly impacted how law-making power is divided between the Australian Government and the state governments. </w:t>
            </w:r>
          </w:p>
          <w:p w14:paraId="6AEC35B1" w14:textId="564DCC08" w:rsidR="00AC3622" w:rsidRPr="00AC3622" w:rsidRDefault="00AC3622" w:rsidP="00AC3622">
            <w:r w:rsidRPr="00AC3622">
              <w:t xml:space="preserve">The </w:t>
            </w:r>
            <w:r w:rsidR="00144D40">
              <w:t>C</w:t>
            </w:r>
            <w:r w:rsidRPr="00AC3622">
              <w:t>ourt’s interpretation of Section5</w:t>
            </w:r>
            <w:r w:rsidR="004E5D0D">
              <w:t xml:space="preserve">1 </w:t>
            </w:r>
            <w:r w:rsidRPr="00AC3622">
              <w:t xml:space="preserve">(xxix) expanded the law-making power of the Australian Parliament. Because Australia signs international treaties concerning a range of subjects, the case meant the Australian Parliament could make laws about a range of matters that were previously considered beyond its power. </w:t>
            </w:r>
          </w:p>
          <w:p w14:paraId="02D4C3C3" w14:textId="77777777" w:rsidR="00AC3622" w:rsidRPr="00AC3622" w:rsidRDefault="00AC3622" w:rsidP="00AC3622">
            <w:r w:rsidRPr="00AC3622">
              <w:t xml:space="preserve">Critics of the Tasmanian Dams Case believe it disturbed the power balance in Australia by giving too much law-making power to the Australian Parliament. Others celebrate the outcome as an important step forward for environmental protection in Australia. The decision led to several new laws to protect Australia’s environmental heritage and biodiversity. </w:t>
            </w:r>
          </w:p>
          <w:p w14:paraId="50E4F079" w14:textId="467D73E7" w:rsidR="00755DDD" w:rsidRDefault="00AC3622" w:rsidP="00AC3622">
            <w:r w:rsidRPr="00AC3622">
              <w:t>The Tasmanian Dams Case also set a precedent for how High Court judgements are communicated to the public. Because there was huge public interest in the case, the Court issued a media release summarising their judgement in language that ordinary people could understand. In it, they stressed their decision was based on the Constitution</w:t>
            </w:r>
            <w:r w:rsidR="0021249F">
              <w:t xml:space="preserve"> - </w:t>
            </w:r>
            <w:r w:rsidRPr="00AC3622">
              <w:t>not whether the dam was a good policy decision. Today, a media release is issued after every High Court case.</w:t>
            </w:r>
          </w:p>
        </w:tc>
      </w:tr>
    </w:tbl>
    <w:p w14:paraId="260F74C2" w14:textId="77777777" w:rsidR="00755DDD" w:rsidRDefault="00755DDD" w:rsidP="00755DDD">
      <w:pPr>
        <w:spacing w:before="60" w:after="60" w:line="240" w:lineRule="auto"/>
        <w:rPr>
          <w:rFonts w:asciiTheme="majorHAnsi" w:hAnsiTheme="majorHAnsi" w:cstheme="majorHAnsi"/>
        </w:rPr>
      </w:pPr>
    </w:p>
    <w:p w14:paraId="368D17D0" w14:textId="77777777" w:rsidR="00755DDD" w:rsidRDefault="00755DDD" w:rsidP="00755DDD">
      <w:pPr>
        <w:rPr>
          <w:rFonts w:asciiTheme="majorHAnsi" w:hAnsiTheme="majorHAnsi" w:cstheme="majorHAnsi"/>
        </w:rPr>
      </w:pPr>
    </w:p>
    <w:sectPr w:rsidR="00755DDD" w:rsidSect="008B6872">
      <w:headerReference w:type="even" r:id="rId11"/>
      <w:headerReference w:type="default" r:id="rId12"/>
      <w:footerReference w:type="even" r:id="rId13"/>
      <w:footerReference w:type="default" r:id="rId14"/>
      <w:headerReference w:type="first" r:id="rId15"/>
      <w:footerReference w:type="first" r:id="rId16"/>
      <w:pgSz w:w="11906" w:h="16838" w:code="9"/>
      <w:pgMar w:top="958" w:right="1134" w:bottom="1134" w:left="1134"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6099" w14:textId="77777777" w:rsidR="006212AC" w:rsidRDefault="006212AC" w:rsidP="00412C93">
      <w:pPr>
        <w:spacing w:after="0" w:line="240" w:lineRule="auto"/>
      </w:pPr>
      <w:r>
        <w:separator/>
      </w:r>
    </w:p>
  </w:endnote>
  <w:endnote w:type="continuationSeparator" w:id="0">
    <w:p w14:paraId="016C35BD" w14:textId="77777777" w:rsidR="006212AC" w:rsidRDefault="006212AC"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297F" w14:textId="77777777" w:rsidR="00865E99" w:rsidRDefault="00865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58242" behindDoc="0" locked="0" layoutInCell="1" allowOverlap="1" wp14:anchorId="6427F38C" wp14:editId="073A6D13">
              <wp:simplePos x="0" y="0"/>
              <wp:positionH relativeFrom="column">
                <wp:posOffset>3810</wp:posOffset>
              </wp:positionH>
              <wp:positionV relativeFrom="paragraph">
                <wp:posOffset>52070</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8F2EE6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1pt" to="481.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" strokecolor="#ced2cd [3212]" strokeweight="1pt"/>
          </w:pict>
        </mc:Fallback>
      </mc:AlternateContent>
    </w:r>
  </w:p>
  <w:p w14:paraId="203F0AA8" w14:textId="12BF3B66" w:rsidR="00412C93" w:rsidRPr="00E64AFA" w:rsidRDefault="00E64AFA" w:rsidP="00E64AFA">
    <w:pPr>
      <w:pStyle w:val="Footer"/>
      <w:tabs>
        <w:tab w:val="clear" w:pos="4513"/>
        <w:tab w:val="clear" w:pos="9026"/>
        <w:tab w:val="right" w:pos="9639"/>
      </w:tabs>
      <w:ind w:right="-1"/>
      <w:rPr>
        <w:color w:val="676365" w:themeColor="text1" w:themeTint="BF"/>
        <w:sz w:val="18"/>
        <w:szCs w:val="18"/>
      </w:rPr>
    </w:pPr>
    <w:r>
      <w:rPr>
        <w:color w:val="676365" w:themeColor="text1" w:themeTint="BF"/>
        <w:sz w:val="18"/>
        <w:szCs w:val="18"/>
      </w:rPr>
      <w:tab/>
    </w:r>
    <w:r w:rsidRPr="000F5DC2">
      <w:rPr>
        <w:color w:val="676365" w:themeColor="text1" w:themeTint="BF"/>
        <w:sz w:val="18"/>
        <w:szCs w:val="18"/>
      </w:rPr>
      <w:t xml:space="preserve">PEO.GOV.AU &gt; Teach &gt; Units of work &gt; Year </w:t>
    </w:r>
    <w:r w:rsidR="004909FF">
      <w:rPr>
        <w:color w:val="676365" w:themeColor="text1" w:themeTint="BF"/>
        <w:sz w:val="18"/>
        <w:szCs w:val="18"/>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241" behindDoc="0" locked="0" layoutInCell="1" allowOverlap="1" wp14:anchorId="17AACF62" wp14:editId="2BF1CB3B">
              <wp:simplePos x="0" y="0"/>
              <wp:positionH relativeFrom="column">
                <wp:posOffset>3810</wp:posOffset>
              </wp:positionH>
              <wp:positionV relativeFrom="paragraph">
                <wp:posOffset>42545</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A3C87B1"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35pt" to="481.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" strokecolor="#ced2cd [3212]" strokeweight="1pt"/>
          </w:pict>
        </mc:Fallback>
      </mc:AlternateContent>
    </w:r>
  </w:p>
  <w:p w14:paraId="46EC4AA0" w14:textId="0A47DDF2"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 xml:space="preserve">Year </w:t>
    </w:r>
    <w:r w:rsidR="00AB42D1">
      <w:rPr>
        <w:color w:val="676365" w:themeColor="text1" w:themeTint="BF"/>
        <w:sz w:val="18"/>
        <w:szCs w:val="18"/>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67D0" w14:textId="77777777" w:rsidR="006212AC" w:rsidRDefault="006212AC" w:rsidP="00412C93">
      <w:pPr>
        <w:spacing w:after="0" w:line="240" w:lineRule="auto"/>
      </w:pPr>
      <w:r>
        <w:separator/>
      </w:r>
    </w:p>
  </w:footnote>
  <w:footnote w:type="continuationSeparator" w:id="0">
    <w:p w14:paraId="5BCD45ED" w14:textId="77777777" w:rsidR="006212AC" w:rsidRDefault="006212AC"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2A84" w14:textId="77777777" w:rsidR="00865E99" w:rsidRDefault="00865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DAD5" w14:textId="0DB9C50B" w:rsidR="00E64AFA" w:rsidRDefault="0024317B" w:rsidP="0024317B">
    <w:pPr>
      <w:pStyle w:val="Title"/>
      <w:tabs>
        <w:tab w:val="clear" w:pos="9072"/>
        <w:tab w:val="right" w:pos="9638"/>
      </w:tabs>
      <w:rPr>
        <w:noProof/>
        <w:lang w:eastAsia="en-AU"/>
      </w:rPr>
    </w:pPr>
    <w:r>
      <w:tab/>
    </w:r>
  </w:p>
  <w:p w14:paraId="4445D1F4" w14:textId="2AC8F3D7" w:rsidR="00E64AFA" w:rsidRDefault="00E64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2595341"/>
  <w:bookmarkStart w:id="1" w:name="_Hlk42595342"/>
  <w:bookmarkStart w:id="2" w:name="_Hlk42595489"/>
  <w:bookmarkStart w:id="3" w:name="_Hlk42595490"/>
  <w:p w14:paraId="7A2F23D5" w14:textId="2BE534E2" w:rsidR="00E001D4" w:rsidRDefault="00AB42D1" w:rsidP="00E64AFA">
    <w:pPr>
      <w:pStyle w:val="Title"/>
      <w:tabs>
        <w:tab w:val="clear" w:pos="9072"/>
        <w:tab w:val="left" w:pos="5760"/>
        <w:tab w:val="right" w:pos="9582"/>
      </w:tabs>
      <w:jc w:val="left"/>
      <w:rPr>
        <w:noProof/>
        <w:lang w:eastAsia="en-AU"/>
      </w:rPr>
    </w:pPr>
    <w:r>
      <w:rPr>
        <w:noProof/>
      </w:rPr>
      <mc:AlternateContent>
        <mc:Choice Requires="wps">
          <w:drawing>
            <wp:anchor distT="45720" distB="45720" distL="114300" distR="114300" simplePos="0" relativeHeight="251658243" behindDoc="0" locked="0" layoutInCell="1" allowOverlap="1" wp14:anchorId="132A8876" wp14:editId="61C1DFD8">
              <wp:simplePos x="0" y="0"/>
              <wp:positionH relativeFrom="margin">
                <wp:posOffset>2176780</wp:posOffset>
              </wp:positionH>
              <wp:positionV relativeFrom="paragraph">
                <wp:posOffset>125730</wp:posOffset>
              </wp:positionV>
              <wp:extent cx="3934460" cy="1404620"/>
              <wp:effectExtent l="0" t="0" r="889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460" cy="1404620"/>
                      </a:xfrm>
                      <a:prstGeom prst="rect">
                        <a:avLst/>
                      </a:prstGeom>
                      <a:noFill/>
                      <a:ln w="9525">
                        <a:noFill/>
                        <a:miter lim="800000"/>
                        <a:headEnd/>
                        <a:tailEnd/>
                      </a:ln>
                    </wps:spPr>
                    <wps:txbx>
                      <w:txbxContent>
                        <w:p w14:paraId="26203B73" w14:textId="77777777" w:rsidR="00AB42D1" w:rsidRDefault="00AB42D1" w:rsidP="00AB42D1">
                          <w:pPr>
                            <w:pStyle w:val="Title"/>
                          </w:pPr>
                          <w:r w:rsidRPr="00755DDD">
                            <w:t>High Court of Australia case study: the Tasmanian Dams Case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132A8876" id="_x0000_t202" coordsize="21600,21600" o:spt="202" path="m,l,21600r21600,l21600,xe">
              <v:stroke joinstyle="miter"/>
              <v:path gradientshapeok="t" o:connecttype="rect"/>
            </v:shapetype>
            <v:shape id="Text Box 2" o:spid="_x0000_s1026" type="#_x0000_t202" style="position:absolute;margin-left:171.4pt;margin-top:9.9pt;width:309.8pt;height:110.6pt;z-index:251666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" filled="f" stroked="f">
              <v:textbox style="mso-fit-shape-to-text:t" inset="0,0,0,0">
                <w:txbxContent>
                  <w:p w14:paraId="26203B73" w14:textId="77777777" w:rsidR="00AB42D1" w:rsidRDefault="00AB42D1" w:rsidP="00AB42D1">
                    <w:pPr>
                      <w:pStyle w:val="Title"/>
                    </w:pPr>
                    <w:r w:rsidRPr="00755DDD">
                      <w:t>High Court of Australia case study: the Tasmanian Dams Case</w:t>
                    </w:r>
                  </w:p>
                </w:txbxContent>
              </v:textbox>
              <w10:wrap anchorx="margin"/>
            </v:shape>
          </w:pict>
        </mc:Fallback>
      </mc:AlternateContent>
    </w:r>
    <w:r w:rsidR="00E001D4">
      <w:rPr>
        <w:noProof/>
        <w:lang w:eastAsia="en-AU"/>
      </w:rPr>
      <w:drawing>
        <wp:inline distT="0" distB="0" distL="0" distR="0" wp14:anchorId="7B58C0AB" wp14:editId="16E44E58">
          <wp:extent cx="1794294" cy="643446"/>
          <wp:effectExtent l="0" t="0" r="0" b="4445"/>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E001D4" w:rsidRPr="00337D9F">
      <w:t xml:space="preserve"> </w:t>
    </w:r>
    <w:r w:rsidR="00E001D4">
      <w:tab/>
    </w:r>
    <w:r w:rsidR="00E64AFA">
      <w:tab/>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8240" behindDoc="0" locked="0" layoutInCell="1" allowOverlap="1" wp14:anchorId="33E672C0" wp14:editId="33FD9217">
              <wp:simplePos x="0" y="0"/>
              <wp:positionH relativeFrom="column">
                <wp:posOffset>-6985</wp:posOffset>
              </wp:positionH>
              <wp:positionV relativeFrom="paragraph">
                <wp:posOffset>139700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FC40CF8"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1pt" to="479.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B007DE"/>
    <w:multiLevelType w:val="hybridMultilevel"/>
    <w:tmpl w:val="21E24DDC"/>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517A2"/>
    <w:multiLevelType w:val="hybridMultilevel"/>
    <w:tmpl w:val="D14CCF2E"/>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A40DD"/>
    <w:multiLevelType w:val="hybridMultilevel"/>
    <w:tmpl w:val="31588220"/>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6639"/>
    <w:multiLevelType w:val="hybridMultilevel"/>
    <w:tmpl w:val="AA224946"/>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A513C6"/>
    <w:multiLevelType w:val="hybridMultilevel"/>
    <w:tmpl w:val="A23C648A"/>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07EB1"/>
    <w:multiLevelType w:val="hybridMultilevel"/>
    <w:tmpl w:val="281E5DFA"/>
    <w:lvl w:ilvl="0" w:tplc="34C012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0E25379"/>
    <w:multiLevelType w:val="hybridMultilevel"/>
    <w:tmpl w:val="08DE7F9E"/>
    <w:lvl w:ilvl="0" w:tplc="4E8CAF8E">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8745463">
    <w:abstractNumId w:val="9"/>
  </w:num>
  <w:num w:numId="2" w16cid:durableId="1763525623">
    <w:abstractNumId w:val="11"/>
  </w:num>
  <w:num w:numId="3" w16cid:durableId="1795050983">
    <w:abstractNumId w:val="5"/>
  </w:num>
  <w:num w:numId="4" w16cid:durableId="1964340577">
    <w:abstractNumId w:val="10"/>
  </w:num>
  <w:num w:numId="5" w16cid:durableId="32661137">
    <w:abstractNumId w:val="10"/>
    <w:lvlOverride w:ilvl="0">
      <w:startOverride w:val="1"/>
    </w:lvlOverride>
  </w:num>
  <w:num w:numId="6" w16cid:durableId="580716944">
    <w:abstractNumId w:val="10"/>
    <w:lvlOverride w:ilvl="0">
      <w:startOverride w:val="1"/>
    </w:lvlOverride>
  </w:num>
  <w:num w:numId="7" w16cid:durableId="2143381330">
    <w:abstractNumId w:val="10"/>
    <w:lvlOverride w:ilvl="0">
      <w:startOverride w:val="1"/>
    </w:lvlOverride>
  </w:num>
  <w:num w:numId="8" w16cid:durableId="1410420089">
    <w:abstractNumId w:val="10"/>
    <w:lvlOverride w:ilvl="0">
      <w:startOverride w:val="1"/>
    </w:lvlOverride>
  </w:num>
  <w:num w:numId="9" w16cid:durableId="1781876340">
    <w:abstractNumId w:val="10"/>
    <w:lvlOverride w:ilvl="0">
      <w:startOverride w:val="1"/>
    </w:lvlOverride>
  </w:num>
  <w:num w:numId="10" w16cid:durableId="470829358">
    <w:abstractNumId w:val="0"/>
  </w:num>
  <w:num w:numId="11" w16cid:durableId="1725175364">
    <w:abstractNumId w:val="8"/>
  </w:num>
  <w:num w:numId="12" w16cid:durableId="1988849986">
    <w:abstractNumId w:val="10"/>
    <w:lvlOverride w:ilvl="0">
      <w:startOverride w:val="1"/>
    </w:lvlOverride>
  </w:num>
  <w:num w:numId="13" w16cid:durableId="1864979352">
    <w:abstractNumId w:val="10"/>
    <w:lvlOverride w:ilvl="0">
      <w:startOverride w:val="1"/>
    </w:lvlOverride>
  </w:num>
  <w:num w:numId="14" w16cid:durableId="2077777092">
    <w:abstractNumId w:val="10"/>
    <w:lvlOverride w:ilvl="0">
      <w:startOverride w:val="1"/>
    </w:lvlOverride>
  </w:num>
  <w:num w:numId="15" w16cid:durableId="629671449">
    <w:abstractNumId w:val="10"/>
    <w:lvlOverride w:ilvl="0">
      <w:startOverride w:val="1"/>
    </w:lvlOverride>
  </w:num>
  <w:num w:numId="16" w16cid:durableId="1118915329">
    <w:abstractNumId w:val="10"/>
    <w:lvlOverride w:ilvl="0">
      <w:startOverride w:val="1"/>
    </w:lvlOverride>
  </w:num>
  <w:num w:numId="17" w16cid:durableId="1813450130">
    <w:abstractNumId w:val="10"/>
    <w:lvlOverride w:ilvl="0">
      <w:startOverride w:val="1"/>
    </w:lvlOverride>
  </w:num>
  <w:num w:numId="18" w16cid:durableId="1752312931">
    <w:abstractNumId w:val="3"/>
  </w:num>
  <w:num w:numId="19" w16cid:durableId="347026345">
    <w:abstractNumId w:val="7"/>
  </w:num>
  <w:num w:numId="20" w16cid:durableId="498695195">
    <w:abstractNumId w:val="2"/>
  </w:num>
  <w:num w:numId="21" w16cid:durableId="1579709875">
    <w:abstractNumId w:val="1"/>
  </w:num>
  <w:num w:numId="22" w16cid:durableId="129784097">
    <w:abstractNumId w:val="4"/>
  </w:num>
  <w:num w:numId="23" w16cid:durableId="828518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13964"/>
    <w:rsid w:val="000209F0"/>
    <w:rsid w:val="000263C9"/>
    <w:rsid w:val="00034A24"/>
    <w:rsid w:val="00040353"/>
    <w:rsid w:val="00043346"/>
    <w:rsid w:val="00047036"/>
    <w:rsid w:val="000568D0"/>
    <w:rsid w:val="00064D47"/>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4D17"/>
    <w:rsid w:val="000E587E"/>
    <w:rsid w:val="000E5D14"/>
    <w:rsid w:val="000E7C91"/>
    <w:rsid w:val="000F3D14"/>
    <w:rsid w:val="000F5B9E"/>
    <w:rsid w:val="000F5DC2"/>
    <w:rsid w:val="000F7CAA"/>
    <w:rsid w:val="00101340"/>
    <w:rsid w:val="0010380D"/>
    <w:rsid w:val="001050AC"/>
    <w:rsid w:val="0011164E"/>
    <w:rsid w:val="001138F3"/>
    <w:rsid w:val="00114740"/>
    <w:rsid w:val="00114D60"/>
    <w:rsid w:val="00116335"/>
    <w:rsid w:val="00121631"/>
    <w:rsid w:val="00124A23"/>
    <w:rsid w:val="00125340"/>
    <w:rsid w:val="0012561F"/>
    <w:rsid w:val="00125A27"/>
    <w:rsid w:val="001272CE"/>
    <w:rsid w:val="00135B90"/>
    <w:rsid w:val="0014392A"/>
    <w:rsid w:val="00144D40"/>
    <w:rsid w:val="00145459"/>
    <w:rsid w:val="001467FF"/>
    <w:rsid w:val="0015331A"/>
    <w:rsid w:val="001550DD"/>
    <w:rsid w:val="00156A4F"/>
    <w:rsid w:val="00156F64"/>
    <w:rsid w:val="00160D61"/>
    <w:rsid w:val="00161C74"/>
    <w:rsid w:val="00163452"/>
    <w:rsid w:val="001703CE"/>
    <w:rsid w:val="0017558B"/>
    <w:rsid w:val="00176C78"/>
    <w:rsid w:val="00176E1C"/>
    <w:rsid w:val="0018076A"/>
    <w:rsid w:val="00181C1E"/>
    <w:rsid w:val="0019008A"/>
    <w:rsid w:val="001911B1"/>
    <w:rsid w:val="00194313"/>
    <w:rsid w:val="001A5A1E"/>
    <w:rsid w:val="001A5B3D"/>
    <w:rsid w:val="001B1A12"/>
    <w:rsid w:val="001B3AAD"/>
    <w:rsid w:val="001B56EC"/>
    <w:rsid w:val="001C4F9A"/>
    <w:rsid w:val="001C5975"/>
    <w:rsid w:val="001C5FCD"/>
    <w:rsid w:val="001C75D2"/>
    <w:rsid w:val="001D03C5"/>
    <w:rsid w:val="001D126B"/>
    <w:rsid w:val="001D3E21"/>
    <w:rsid w:val="001D7BB1"/>
    <w:rsid w:val="001E18D3"/>
    <w:rsid w:val="001E66E5"/>
    <w:rsid w:val="001E6D26"/>
    <w:rsid w:val="001F5AB3"/>
    <w:rsid w:val="002032FB"/>
    <w:rsid w:val="00204671"/>
    <w:rsid w:val="00204808"/>
    <w:rsid w:val="00207C72"/>
    <w:rsid w:val="0021249F"/>
    <w:rsid w:val="00220682"/>
    <w:rsid w:val="0022585F"/>
    <w:rsid w:val="00230255"/>
    <w:rsid w:val="00232204"/>
    <w:rsid w:val="0024317B"/>
    <w:rsid w:val="0024549C"/>
    <w:rsid w:val="00246A82"/>
    <w:rsid w:val="002475D9"/>
    <w:rsid w:val="00250655"/>
    <w:rsid w:val="0025256A"/>
    <w:rsid w:val="00255B24"/>
    <w:rsid w:val="00256516"/>
    <w:rsid w:val="00256569"/>
    <w:rsid w:val="00256E0C"/>
    <w:rsid w:val="00260068"/>
    <w:rsid w:val="002619A7"/>
    <w:rsid w:val="0026398F"/>
    <w:rsid w:val="00267FD7"/>
    <w:rsid w:val="002722F8"/>
    <w:rsid w:val="00276BF4"/>
    <w:rsid w:val="00276C39"/>
    <w:rsid w:val="00285690"/>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37D9F"/>
    <w:rsid w:val="00341D33"/>
    <w:rsid w:val="00344084"/>
    <w:rsid w:val="003448B5"/>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1ECA"/>
    <w:rsid w:val="00424AF8"/>
    <w:rsid w:val="0042597F"/>
    <w:rsid w:val="00425E22"/>
    <w:rsid w:val="00435CBA"/>
    <w:rsid w:val="00436642"/>
    <w:rsid w:val="004418CE"/>
    <w:rsid w:val="00443C93"/>
    <w:rsid w:val="00444180"/>
    <w:rsid w:val="00446224"/>
    <w:rsid w:val="00446659"/>
    <w:rsid w:val="00447DCA"/>
    <w:rsid w:val="0045338C"/>
    <w:rsid w:val="004573B9"/>
    <w:rsid w:val="00464231"/>
    <w:rsid w:val="00466270"/>
    <w:rsid w:val="004664E3"/>
    <w:rsid w:val="004679B0"/>
    <w:rsid w:val="00470BBA"/>
    <w:rsid w:val="004717EB"/>
    <w:rsid w:val="0047243B"/>
    <w:rsid w:val="00473770"/>
    <w:rsid w:val="00480979"/>
    <w:rsid w:val="00480D12"/>
    <w:rsid w:val="00484B09"/>
    <w:rsid w:val="00487ACF"/>
    <w:rsid w:val="004909FF"/>
    <w:rsid w:val="004935C6"/>
    <w:rsid w:val="00494D7C"/>
    <w:rsid w:val="00495129"/>
    <w:rsid w:val="004A1494"/>
    <w:rsid w:val="004A25D1"/>
    <w:rsid w:val="004B0BBF"/>
    <w:rsid w:val="004B4BA2"/>
    <w:rsid w:val="004B6B2F"/>
    <w:rsid w:val="004B7243"/>
    <w:rsid w:val="004C018D"/>
    <w:rsid w:val="004C03D0"/>
    <w:rsid w:val="004C13A0"/>
    <w:rsid w:val="004C1843"/>
    <w:rsid w:val="004C2C48"/>
    <w:rsid w:val="004C3EF1"/>
    <w:rsid w:val="004D25F9"/>
    <w:rsid w:val="004D3316"/>
    <w:rsid w:val="004D4E8D"/>
    <w:rsid w:val="004D5742"/>
    <w:rsid w:val="004D6260"/>
    <w:rsid w:val="004E208C"/>
    <w:rsid w:val="004E5D0D"/>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487B"/>
    <w:rsid w:val="005E71FA"/>
    <w:rsid w:val="005F1D30"/>
    <w:rsid w:val="005F3779"/>
    <w:rsid w:val="005F393E"/>
    <w:rsid w:val="005F6023"/>
    <w:rsid w:val="00604155"/>
    <w:rsid w:val="0060646D"/>
    <w:rsid w:val="0060655A"/>
    <w:rsid w:val="0061043B"/>
    <w:rsid w:val="0061400C"/>
    <w:rsid w:val="00615DA0"/>
    <w:rsid w:val="0061674C"/>
    <w:rsid w:val="006173FD"/>
    <w:rsid w:val="006212AC"/>
    <w:rsid w:val="006253F2"/>
    <w:rsid w:val="00626BB1"/>
    <w:rsid w:val="00626E3F"/>
    <w:rsid w:val="00627783"/>
    <w:rsid w:val="00634705"/>
    <w:rsid w:val="00635FF2"/>
    <w:rsid w:val="00641E32"/>
    <w:rsid w:val="00643401"/>
    <w:rsid w:val="00643790"/>
    <w:rsid w:val="006503AD"/>
    <w:rsid w:val="00651A17"/>
    <w:rsid w:val="0065672F"/>
    <w:rsid w:val="006601DC"/>
    <w:rsid w:val="00660D45"/>
    <w:rsid w:val="00662B18"/>
    <w:rsid w:val="00664F8F"/>
    <w:rsid w:val="00667D92"/>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320C"/>
    <w:rsid w:val="006E5381"/>
    <w:rsid w:val="006E599B"/>
    <w:rsid w:val="006F10B8"/>
    <w:rsid w:val="006F29B6"/>
    <w:rsid w:val="006F31DA"/>
    <w:rsid w:val="006F3B99"/>
    <w:rsid w:val="006F6EDD"/>
    <w:rsid w:val="00703783"/>
    <w:rsid w:val="00705CCA"/>
    <w:rsid w:val="00712C45"/>
    <w:rsid w:val="00714369"/>
    <w:rsid w:val="00714A1A"/>
    <w:rsid w:val="00726099"/>
    <w:rsid w:val="00732344"/>
    <w:rsid w:val="00732D72"/>
    <w:rsid w:val="00733388"/>
    <w:rsid w:val="00737DAD"/>
    <w:rsid w:val="00744350"/>
    <w:rsid w:val="00752C02"/>
    <w:rsid w:val="00752FCB"/>
    <w:rsid w:val="00753990"/>
    <w:rsid w:val="00755DDD"/>
    <w:rsid w:val="007609C4"/>
    <w:rsid w:val="00760B6C"/>
    <w:rsid w:val="00760CEE"/>
    <w:rsid w:val="0076688C"/>
    <w:rsid w:val="007777C8"/>
    <w:rsid w:val="00777967"/>
    <w:rsid w:val="00780A71"/>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363DC"/>
    <w:rsid w:val="008401FA"/>
    <w:rsid w:val="0084049D"/>
    <w:rsid w:val="008462CB"/>
    <w:rsid w:val="0085387C"/>
    <w:rsid w:val="00862A88"/>
    <w:rsid w:val="00865E99"/>
    <w:rsid w:val="0087212C"/>
    <w:rsid w:val="00877D87"/>
    <w:rsid w:val="0088265E"/>
    <w:rsid w:val="00884704"/>
    <w:rsid w:val="0089145F"/>
    <w:rsid w:val="00893233"/>
    <w:rsid w:val="00896AB4"/>
    <w:rsid w:val="008A330E"/>
    <w:rsid w:val="008A4324"/>
    <w:rsid w:val="008A4D3F"/>
    <w:rsid w:val="008A70AE"/>
    <w:rsid w:val="008B08F9"/>
    <w:rsid w:val="008B19E4"/>
    <w:rsid w:val="008B417E"/>
    <w:rsid w:val="008B6872"/>
    <w:rsid w:val="008C2F3B"/>
    <w:rsid w:val="008C4B78"/>
    <w:rsid w:val="008D178F"/>
    <w:rsid w:val="008D3EDF"/>
    <w:rsid w:val="008D4677"/>
    <w:rsid w:val="008E1C7E"/>
    <w:rsid w:val="008E1F50"/>
    <w:rsid w:val="008E7368"/>
    <w:rsid w:val="008F4126"/>
    <w:rsid w:val="008F494E"/>
    <w:rsid w:val="008F50F1"/>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D785A"/>
    <w:rsid w:val="009E1A29"/>
    <w:rsid w:val="009E3A69"/>
    <w:rsid w:val="009F6E61"/>
    <w:rsid w:val="009F74DD"/>
    <w:rsid w:val="00A0186C"/>
    <w:rsid w:val="00A07072"/>
    <w:rsid w:val="00A124E5"/>
    <w:rsid w:val="00A14F36"/>
    <w:rsid w:val="00A20021"/>
    <w:rsid w:val="00A304CC"/>
    <w:rsid w:val="00A31309"/>
    <w:rsid w:val="00A3203F"/>
    <w:rsid w:val="00A33BF0"/>
    <w:rsid w:val="00A40A34"/>
    <w:rsid w:val="00A40C92"/>
    <w:rsid w:val="00A41458"/>
    <w:rsid w:val="00A41E79"/>
    <w:rsid w:val="00A42EDE"/>
    <w:rsid w:val="00A54975"/>
    <w:rsid w:val="00A555AF"/>
    <w:rsid w:val="00A558E1"/>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B42D1"/>
    <w:rsid w:val="00AC1402"/>
    <w:rsid w:val="00AC33DF"/>
    <w:rsid w:val="00AC3622"/>
    <w:rsid w:val="00AC63E3"/>
    <w:rsid w:val="00AD44EC"/>
    <w:rsid w:val="00AD68B7"/>
    <w:rsid w:val="00AD7DD7"/>
    <w:rsid w:val="00AE0F49"/>
    <w:rsid w:val="00AE4504"/>
    <w:rsid w:val="00AE5C1D"/>
    <w:rsid w:val="00AF1860"/>
    <w:rsid w:val="00AF4DA7"/>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719F2"/>
    <w:rsid w:val="00B81213"/>
    <w:rsid w:val="00B81C82"/>
    <w:rsid w:val="00B906D5"/>
    <w:rsid w:val="00B90B86"/>
    <w:rsid w:val="00B92FE0"/>
    <w:rsid w:val="00B976F8"/>
    <w:rsid w:val="00BA03D3"/>
    <w:rsid w:val="00BA4DE9"/>
    <w:rsid w:val="00BA53B3"/>
    <w:rsid w:val="00BA7762"/>
    <w:rsid w:val="00BB2218"/>
    <w:rsid w:val="00BB4093"/>
    <w:rsid w:val="00BB61D0"/>
    <w:rsid w:val="00BB782A"/>
    <w:rsid w:val="00BB78BB"/>
    <w:rsid w:val="00BB7EEB"/>
    <w:rsid w:val="00BC3DBB"/>
    <w:rsid w:val="00BC6B97"/>
    <w:rsid w:val="00BD072A"/>
    <w:rsid w:val="00BD3819"/>
    <w:rsid w:val="00BD4B95"/>
    <w:rsid w:val="00BE31AE"/>
    <w:rsid w:val="00BE3FC7"/>
    <w:rsid w:val="00BE43C8"/>
    <w:rsid w:val="00BF118F"/>
    <w:rsid w:val="00BF1416"/>
    <w:rsid w:val="00BF2881"/>
    <w:rsid w:val="00BF71DF"/>
    <w:rsid w:val="00BF76BF"/>
    <w:rsid w:val="00C01F1D"/>
    <w:rsid w:val="00C024F2"/>
    <w:rsid w:val="00C04976"/>
    <w:rsid w:val="00C0693C"/>
    <w:rsid w:val="00C10B7E"/>
    <w:rsid w:val="00C12C98"/>
    <w:rsid w:val="00C151D7"/>
    <w:rsid w:val="00C167EC"/>
    <w:rsid w:val="00C2274D"/>
    <w:rsid w:val="00C264EF"/>
    <w:rsid w:val="00C26C8B"/>
    <w:rsid w:val="00C31CD5"/>
    <w:rsid w:val="00C33E8C"/>
    <w:rsid w:val="00C41784"/>
    <w:rsid w:val="00C445E0"/>
    <w:rsid w:val="00C45F62"/>
    <w:rsid w:val="00C51651"/>
    <w:rsid w:val="00C5255A"/>
    <w:rsid w:val="00C569CF"/>
    <w:rsid w:val="00C619C0"/>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6EC"/>
    <w:rsid w:val="00CD299E"/>
    <w:rsid w:val="00CD3F40"/>
    <w:rsid w:val="00CD60A4"/>
    <w:rsid w:val="00CE0030"/>
    <w:rsid w:val="00CE0ABF"/>
    <w:rsid w:val="00CE25F1"/>
    <w:rsid w:val="00CE555D"/>
    <w:rsid w:val="00CE7DC2"/>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27F1C"/>
    <w:rsid w:val="00D36081"/>
    <w:rsid w:val="00D3699A"/>
    <w:rsid w:val="00D377A3"/>
    <w:rsid w:val="00D5181A"/>
    <w:rsid w:val="00D60A45"/>
    <w:rsid w:val="00D71640"/>
    <w:rsid w:val="00D746A0"/>
    <w:rsid w:val="00D81CFA"/>
    <w:rsid w:val="00D87050"/>
    <w:rsid w:val="00D920F2"/>
    <w:rsid w:val="00D952A7"/>
    <w:rsid w:val="00DA171B"/>
    <w:rsid w:val="00DA20A6"/>
    <w:rsid w:val="00DA40A7"/>
    <w:rsid w:val="00DA419F"/>
    <w:rsid w:val="00DA65D1"/>
    <w:rsid w:val="00DA66FC"/>
    <w:rsid w:val="00DC545B"/>
    <w:rsid w:val="00DC7436"/>
    <w:rsid w:val="00DC7958"/>
    <w:rsid w:val="00DD2302"/>
    <w:rsid w:val="00DD3773"/>
    <w:rsid w:val="00DD4390"/>
    <w:rsid w:val="00DE0444"/>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334E6"/>
    <w:rsid w:val="00E33D72"/>
    <w:rsid w:val="00E345E6"/>
    <w:rsid w:val="00E41247"/>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0797"/>
    <w:rsid w:val="00EA18D2"/>
    <w:rsid w:val="00EA7E64"/>
    <w:rsid w:val="00EB796E"/>
    <w:rsid w:val="00EC074D"/>
    <w:rsid w:val="00EC09C1"/>
    <w:rsid w:val="00EC21B7"/>
    <w:rsid w:val="00EC4423"/>
    <w:rsid w:val="00EC57DC"/>
    <w:rsid w:val="00EC75C5"/>
    <w:rsid w:val="00ED1B5B"/>
    <w:rsid w:val="00ED43C2"/>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3F19"/>
    <w:rsid w:val="00F1441C"/>
    <w:rsid w:val="00F14663"/>
    <w:rsid w:val="00F14F8D"/>
    <w:rsid w:val="00F1520E"/>
    <w:rsid w:val="00F235D9"/>
    <w:rsid w:val="00F2705B"/>
    <w:rsid w:val="00F30B40"/>
    <w:rsid w:val="00F34367"/>
    <w:rsid w:val="00F4093C"/>
    <w:rsid w:val="00F42D61"/>
    <w:rsid w:val="00F45936"/>
    <w:rsid w:val="00F47127"/>
    <w:rsid w:val="00F47CA3"/>
    <w:rsid w:val="00F50717"/>
    <w:rsid w:val="00F5119D"/>
    <w:rsid w:val="00F51519"/>
    <w:rsid w:val="00F522A5"/>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73F34C84-96CA-4DDC-ABD4-F3CF96DD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F1C"/>
    <w:pPr>
      <w:spacing w:after="120" w:line="264" w:lineRule="auto"/>
    </w:pPr>
    <w:rPr>
      <w:color w:val="333132" w:themeColor="text1"/>
      <w:sz w:val="21"/>
      <w:szCs w:val="21"/>
    </w:rPr>
  </w:style>
  <w:style w:type="paragraph" w:styleId="Heading1">
    <w:name w:val="heading 1"/>
    <w:basedOn w:val="Normal"/>
    <w:next w:val="Normal"/>
    <w:link w:val="Heading1Char"/>
    <w:uiPriority w:val="9"/>
    <w:qFormat/>
    <w:rsid w:val="004B0BBF"/>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8B6872"/>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8B6872"/>
    <w:pPr>
      <w:keepNext/>
      <w:keepLines/>
      <w:spacing w:before="200" w:after="40"/>
      <w:outlineLvl w:val="2"/>
    </w:pPr>
    <w:rPr>
      <w:rFonts w:eastAsiaTheme="majorEastAsia"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755DDD"/>
    <w:pPr>
      <w:tabs>
        <w:tab w:val="right" w:pos="9072"/>
      </w:tabs>
      <w:spacing w:after="0" w:line="228" w:lineRule="auto"/>
      <w:contextualSpacing/>
      <w:jc w:val="right"/>
    </w:pPr>
    <w:rPr>
      <w:rFonts w:eastAsiaTheme="majorEastAsia" w:cstheme="majorBidi"/>
      <w:spacing w:val="2"/>
      <w:kern w:val="28"/>
      <w:sz w:val="40"/>
      <w:szCs w:val="48"/>
    </w:rPr>
  </w:style>
  <w:style w:type="character" w:customStyle="1" w:styleId="TitleChar">
    <w:name w:val="Title Char"/>
    <w:basedOn w:val="DefaultParagraphFont"/>
    <w:link w:val="Title"/>
    <w:uiPriority w:val="10"/>
    <w:rsid w:val="00755DDD"/>
    <w:rPr>
      <w:rFonts w:eastAsiaTheme="majorEastAsia" w:cstheme="majorBidi"/>
      <w:color w:val="333132" w:themeColor="text1"/>
      <w:spacing w:val="2"/>
      <w:kern w:val="28"/>
      <w:sz w:val="40"/>
      <w:szCs w:val="48"/>
    </w:rPr>
  </w:style>
  <w:style w:type="character" w:customStyle="1" w:styleId="Heading1Char">
    <w:name w:val="Heading 1 Char"/>
    <w:basedOn w:val="DefaultParagraphFont"/>
    <w:link w:val="Heading1"/>
    <w:uiPriority w:val="9"/>
    <w:rsid w:val="004B0BBF"/>
    <w:rPr>
      <w:rFonts w:eastAsiaTheme="majorEastAsia" w:cstheme="majorBidi"/>
      <w:bCs/>
      <w:sz w:val="32"/>
      <w:szCs w:val="36"/>
    </w:rPr>
  </w:style>
  <w:style w:type="character" w:customStyle="1" w:styleId="Heading2Char">
    <w:name w:val="Heading 2 Char"/>
    <w:basedOn w:val="DefaultParagraphFont"/>
    <w:link w:val="Heading2"/>
    <w:uiPriority w:val="9"/>
    <w:rsid w:val="008B6872"/>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8B6872"/>
    <w:rPr>
      <w:rFonts w:eastAsiaTheme="majorEastAsia" w:cstheme="majorBidi"/>
      <w:b/>
      <w:bCs/>
      <w:color w:val="333132" w:themeColor="text1"/>
      <w:sz w:val="24"/>
      <w:szCs w:val="24"/>
    </w:rPr>
  </w:style>
  <w:style w:type="table" w:styleId="TableGrid">
    <w:name w:val="Table Grid"/>
    <w:basedOn w:val="TableNormal"/>
    <w:uiPriority w:val="3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8B6872"/>
    <w:pPr>
      <w:spacing w:after="240"/>
    </w:pPr>
    <w:rPr>
      <w:sz w:val="26"/>
      <w:szCs w:val="24"/>
    </w:rPr>
  </w:style>
  <w:style w:type="paragraph" w:customStyle="1" w:styleId="Numberedlist">
    <w:name w:val="Numbered list"/>
    <w:basedOn w:val="ListParagraph"/>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F1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link w:val="TableheadingChar"/>
    <w:qFormat/>
    <w:rsid w:val="00F13F19"/>
    <w:rPr>
      <w:rFonts w:ascii="Arial" w:hAnsi="Arial"/>
      <w:color w:val="007495" w:themeColor="text2"/>
      <w:sz w:val="16"/>
      <w:szCs w:val="16"/>
    </w:rPr>
  </w:style>
  <w:style w:type="character" w:customStyle="1" w:styleId="TableheadingChar">
    <w:name w:val="Table heading Char"/>
    <w:basedOn w:val="NoSpacingChar"/>
    <w:link w:val="Tableheading"/>
    <w:rsid w:val="00F13F19"/>
    <w:rPr>
      <w:rFonts w:ascii="Arial" w:hAnsi="Arial"/>
      <w:color w:val="007495" w:themeColor="text2"/>
      <w:sz w:val="16"/>
      <w:szCs w:val="16"/>
    </w:rPr>
  </w:style>
  <w:style w:type="table" w:customStyle="1" w:styleId="TableGrid2">
    <w:name w:val="Table Grid2"/>
    <w:basedOn w:val="TableNormal"/>
    <w:next w:val="TableGrid"/>
    <w:uiPriority w:val="59"/>
    <w:rsid w:val="00A40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756f06f1d68e1797e4cb9f23f05ac81b">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96227fbdaae603e36607fc3d916f9003"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customXml/itemProps2.xml><?xml version="1.0" encoding="utf-8"?>
<ds:datastoreItem xmlns:ds="http://schemas.openxmlformats.org/officeDocument/2006/customXml" ds:itemID="{F06BD37A-7C86-44E2-A21F-66A2CA143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2FABA-36A2-46D2-8E68-6F490CE77A70}">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ECA5F29D-F38E-4CF8-943C-1739EF86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3916</Characters>
  <Application>Microsoft Office Word</Application>
  <DocSecurity>0</DocSecurity>
  <Lines>85</Lines>
  <Paragraphs>29</Paragraphs>
  <ScaleCrop>false</ScaleCrop>
  <HeadingPairs>
    <vt:vector size="2" baseType="variant">
      <vt:variant>
        <vt:lpstr>Title</vt:lpstr>
      </vt:variant>
      <vt:variant>
        <vt:i4>1</vt:i4>
      </vt:variant>
    </vt:vector>
  </HeadingPairs>
  <TitlesOfParts>
    <vt:vector size="1" baseType="lpstr">
      <vt:lpstr>Worksheet 1 Sustainable Development Goals</vt:lpstr>
    </vt:vector>
  </TitlesOfParts>
  <Company>Parliament of Australia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1 Sustainable Development Goals</dc:title>
  <dc:subject>Year 10 Units of work</dc:subject>
  <dc:creator>Parliamentary Education Office</dc:creator>
  <cp:keywords/>
  <cp:lastModifiedBy>O'Brien, Jo (SEN)</cp:lastModifiedBy>
  <cp:revision>16</cp:revision>
  <dcterms:created xsi:type="dcterms:W3CDTF">2026-01-16T17:44:00Z</dcterms:created>
  <dcterms:modified xsi:type="dcterms:W3CDTF">2026-01-18T23:10:00Z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