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5307" w14:textId="426D4F51" w:rsidR="00F2371C" w:rsidRPr="004C4774" w:rsidRDefault="00A03B5A" w:rsidP="004C4774">
      <w:pPr>
        <w:pStyle w:val="Heading1"/>
      </w:pPr>
      <w:r w:rsidRPr="004C4774">
        <w:t xml:space="preserve">Law </w:t>
      </w:r>
      <w:proofErr w:type="gramStart"/>
      <w:r w:rsidRPr="004C4774">
        <w:t>at a glance</w:t>
      </w:r>
      <w:proofErr w:type="gramEnd"/>
    </w:p>
    <w:p w14:paraId="6FFB8B71" w14:textId="0DED73A9" w:rsidR="008450D4" w:rsidRPr="004C4774" w:rsidRDefault="00A03B5A" w:rsidP="004C4774">
      <w:pPr>
        <w:pStyle w:val="Introduction"/>
        <w:spacing w:before="120"/>
      </w:pPr>
      <w:r w:rsidRPr="004C4774">
        <w:t xml:space="preserve">Use this worksheet to help you unpack the </w:t>
      </w:r>
      <w:r w:rsidR="00057DDB" w:rsidRPr="004C4774">
        <w:t xml:space="preserve">hypothetical case of </w:t>
      </w:r>
      <w:r w:rsidR="00057DDB" w:rsidRPr="004C4774">
        <w:rPr>
          <w:i/>
          <w:iCs/>
        </w:rPr>
        <w:t>Lee vs Electoral Commissioner</w:t>
      </w:r>
      <w:r w:rsidR="00057DDB" w:rsidRPr="004C4774">
        <w:t xml:space="preserve">. </w:t>
      </w:r>
    </w:p>
    <w:p w14:paraId="0DF157A6" w14:textId="4CB543A6" w:rsidR="00D76EF5" w:rsidRPr="00D2693F" w:rsidRDefault="00057DDB" w:rsidP="00D2693F">
      <w:pPr>
        <w:pStyle w:val="Heading2"/>
      </w:pPr>
      <w:r w:rsidRPr="00D2693F">
        <w:t>The sce</w:t>
      </w:r>
      <w:r w:rsidR="00E03670" w:rsidRPr="00D2693F">
        <w:t>nario</w:t>
      </w:r>
    </w:p>
    <w:p w14:paraId="57C4692E" w14:textId="1AAC9CDE" w:rsidR="001E539C" w:rsidRPr="004C4774" w:rsidRDefault="002418D0" w:rsidP="002418D0">
      <w:pPr>
        <w:rPr>
          <w:rFonts w:cstheme="minorHAnsi"/>
        </w:rPr>
      </w:pPr>
      <w:r w:rsidRPr="004C4774">
        <w:rPr>
          <w:rFonts w:cstheme="minorHAnsi"/>
        </w:rPr>
        <w:t>South Australia has lowered the voting age for state and local elections to 16-years-old. Alex Lee, a 16-year-old from Adelaide, attempted to vote in the most recent federal election. Although enrolled to vote, Alex was not allowed to vote on polling day for the federal election. Alex has decided to challenge the Australian Electoral Commissioner in the High Court and argue that they should have been allowed to vote. Alex argues section 41 of the Australian Constitution – which states that any adult person who has the right to vote in state elections cannot be prevented from voting federally – gives them the right to vote in federal elections.</w:t>
      </w:r>
    </w:p>
    <w:p w14:paraId="3FF0488E" w14:textId="77777777" w:rsidR="001E539C" w:rsidRPr="00A6446D" w:rsidRDefault="001E539C" w:rsidP="00D2693F">
      <w:pPr>
        <w:pStyle w:val="Heading2"/>
      </w:pPr>
      <w:r w:rsidRPr="00A6446D">
        <w:t>Section of the Australian Constitution in dispute:</w:t>
      </w:r>
    </w:p>
    <w:p w14:paraId="001C58A4" w14:textId="77777777" w:rsidR="001E539C" w:rsidRPr="00A6446D" w:rsidRDefault="001E539C" w:rsidP="00084E8A">
      <w:r w:rsidRPr="00A6446D">
        <w:rPr>
          <w:rFonts w:cs="NunitoSans-Light"/>
        </w:rPr>
        <w:t xml:space="preserve">Section 41 (abridged) – </w:t>
      </w:r>
      <w:r w:rsidRPr="00A6446D">
        <w:t xml:space="preserve">No </w:t>
      </w:r>
      <w:r w:rsidRPr="00A6446D">
        <w:rPr>
          <w:rFonts w:cs="NunitoSans-BoldItalic"/>
          <w:b/>
          <w:bCs/>
        </w:rPr>
        <w:t xml:space="preserve">adult person </w:t>
      </w:r>
      <w:r w:rsidRPr="00A6446D">
        <w:t xml:space="preserve">who has or acquires </w:t>
      </w:r>
      <w:r w:rsidRPr="00A6446D">
        <w:rPr>
          <w:rFonts w:cs="NunitoSans-BoldItalic"/>
          <w:b/>
          <w:bCs/>
        </w:rPr>
        <w:t xml:space="preserve">a right to vote </w:t>
      </w:r>
      <w:r w:rsidRPr="00A6446D">
        <w:t xml:space="preserve">at </w:t>
      </w:r>
      <w:r w:rsidRPr="00A6446D">
        <w:rPr>
          <w:rFonts w:cs="NunitoSans-BoldItalic"/>
          <w:b/>
          <w:bCs/>
        </w:rPr>
        <w:t xml:space="preserve">state </w:t>
      </w:r>
      <w:r w:rsidRPr="00A6446D">
        <w:t xml:space="preserve">elections shall, while the right continues, be prevented by any law of the Commonwealth from voting at </w:t>
      </w:r>
      <w:r w:rsidRPr="00A6446D">
        <w:rPr>
          <w:rFonts w:cs="NunitoSans-BoldItalic"/>
          <w:b/>
          <w:bCs/>
        </w:rPr>
        <w:t xml:space="preserve">Commonwealth </w:t>
      </w:r>
      <w:r w:rsidRPr="00A6446D">
        <w:t>elections.</w:t>
      </w:r>
    </w:p>
    <w:p w14:paraId="5A813204" w14:textId="77777777" w:rsidR="001E539C" w:rsidRPr="00084E8A" w:rsidRDefault="001E539C" w:rsidP="00084E8A">
      <w:pPr>
        <w:pStyle w:val="Heading3"/>
      </w:pPr>
      <w:r w:rsidRPr="00084E8A">
        <w:t>A matter of interpretation</w:t>
      </w:r>
    </w:p>
    <w:p w14:paraId="2968A443" w14:textId="77777777" w:rsidR="001E539C" w:rsidRPr="00A6446D" w:rsidRDefault="001E539C" w:rsidP="00084E8A">
      <w:r w:rsidRPr="00A6446D">
        <w:t>The 2 questions the court will need to consider are:</w:t>
      </w:r>
    </w:p>
    <w:p w14:paraId="2E727A47" w14:textId="77777777" w:rsidR="001E539C" w:rsidRPr="00084E8A" w:rsidRDefault="001E539C" w:rsidP="00084E8A">
      <w:pPr>
        <w:pStyle w:val="Numberedlist"/>
      </w:pPr>
      <w:r w:rsidRPr="00084E8A">
        <w:t>What is the meaning of an ‘adult person’ under this section? Could Alex Lee be defined as an ‘adult person’?</w:t>
      </w:r>
    </w:p>
    <w:p w14:paraId="78C9CAC2" w14:textId="77777777" w:rsidR="001E539C" w:rsidRPr="00084E8A" w:rsidRDefault="001E539C" w:rsidP="00084E8A">
      <w:pPr>
        <w:pStyle w:val="Numberedlist"/>
      </w:pPr>
      <w:r w:rsidRPr="00084E8A">
        <w:t>If Alex Lee is an ‘adult person’, does this section guarantee their right to vote in federal elections?</w:t>
      </w:r>
    </w:p>
    <w:p w14:paraId="707473ED" w14:textId="77777777" w:rsidR="001E539C" w:rsidRPr="00A6446D" w:rsidRDefault="001E539C" w:rsidP="00084E8A">
      <w:r w:rsidRPr="00A6446D">
        <w:t>After hearing arguments from both sides, it is up to each High Court judge to decide how they interpret section 41 in relation to this case. In arriving at their decision, they will need to consider:</w:t>
      </w:r>
    </w:p>
    <w:p w14:paraId="3E904A40" w14:textId="20F56B48" w:rsidR="001E539C" w:rsidRPr="00084E8A" w:rsidRDefault="001E539C" w:rsidP="00084E8A">
      <w:pPr>
        <w:pStyle w:val="ListParagraph"/>
      </w:pPr>
      <w:r w:rsidRPr="00084E8A">
        <w:t>how the section has been interpreted by other judges in precedent</w:t>
      </w:r>
      <w:r w:rsidR="00D11E56" w:rsidRPr="00084E8A">
        <w:t xml:space="preserve"> </w:t>
      </w:r>
      <w:r w:rsidR="00FE6037" w:rsidRPr="00084E8A">
        <w:t xml:space="preserve">– </w:t>
      </w:r>
      <w:r w:rsidRPr="00084E8A">
        <w:t>past</w:t>
      </w:r>
      <w:r w:rsidR="00FE6037" w:rsidRPr="00084E8A">
        <w:t xml:space="preserve"> – </w:t>
      </w:r>
      <w:r w:rsidRPr="00084E8A">
        <w:t>cases.</w:t>
      </w:r>
    </w:p>
    <w:p w14:paraId="407D5C88" w14:textId="77777777" w:rsidR="001E539C" w:rsidRPr="00084E8A" w:rsidRDefault="001E539C" w:rsidP="00084E8A">
      <w:pPr>
        <w:pStyle w:val="ListParagraph"/>
      </w:pPr>
      <w:r w:rsidRPr="00084E8A">
        <w:t>how the section should be interpreted today, considering the current social context.</w:t>
      </w:r>
    </w:p>
    <w:p w14:paraId="24539ABC" w14:textId="77777777" w:rsidR="001E539C" w:rsidRPr="00A6446D" w:rsidRDefault="001E539C" w:rsidP="00D2693F">
      <w:pPr>
        <w:pStyle w:val="Heading2"/>
      </w:pPr>
      <w:r w:rsidRPr="00A6446D">
        <w:t>What is the meaning of an ‘adult person’?</w:t>
      </w:r>
    </w:p>
    <w:p w14:paraId="3663E328" w14:textId="70A21716" w:rsidR="001E539C" w:rsidRPr="004C4774" w:rsidRDefault="001E539C" w:rsidP="00084E8A">
      <w:pPr>
        <w:pStyle w:val="Heading3"/>
      </w:pPr>
      <w:r w:rsidRPr="004C4774">
        <w:t xml:space="preserve">Key precedent case: </w:t>
      </w:r>
      <w:hyperlink r:id="rId11" w:history="1">
        <w:hyperlink r:id="rId12" w:history="1">
          <w:r w:rsidRPr="004C4774">
            <w:rPr>
              <w:rStyle w:val="Hyperlink"/>
              <w:rFonts w:ascii="Arial" w:hAnsi="Arial" w:cs="Arial"/>
              <w:i/>
              <w:iCs/>
            </w:rPr>
            <w:t>King v Jones</w:t>
          </w:r>
          <w:r w:rsidRPr="004C4774">
            <w:rPr>
              <w:rStyle w:val="Hyperlink"/>
              <w:rFonts w:ascii="Arial" w:hAnsi="Arial" w:cs="Arial"/>
            </w:rPr>
            <w:t xml:space="preserve"> (1972</w:t>
          </w:r>
          <w:r w:rsidR="005A69B4" w:rsidRPr="004C4774">
            <w:rPr>
              <w:rStyle w:val="Hyperlink"/>
              <w:rFonts w:ascii="Arial" w:hAnsi="Arial" w:cs="Arial"/>
            </w:rPr>
            <w:t>) 128 CLR 221</w:t>
          </w:r>
        </w:hyperlink>
      </w:hyperlink>
    </w:p>
    <w:p w14:paraId="310E4C99" w14:textId="77777777" w:rsidR="001E539C" w:rsidRPr="00A6446D" w:rsidRDefault="001E539C" w:rsidP="004C4774">
      <w:r w:rsidRPr="00A6446D">
        <w:rPr>
          <w:rFonts w:cs="NunitoSans-Bold"/>
          <w:b/>
          <w:bCs/>
        </w:rPr>
        <w:t>Facts</w:t>
      </w:r>
      <w:r w:rsidRPr="00A6446D">
        <w:t>: In 1972 South Australia and Western Australia lowered the voting age for state elections from 21 to 18-years-old. Susan King, an 18-year-old in South Australia, tried to enrol to vote in federal elections. Her enrolment was refused because the law stated the voting age for federal elections was 21. King argued in the High Court that she had a right to vote in federal elections under section 41 of the Constitution.</w:t>
      </w:r>
    </w:p>
    <w:p w14:paraId="0C9D65F9" w14:textId="77777777" w:rsidR="001E539C" w:rsidRPr="00A6446D" w:rsidRDefault="001E539C" w:rsidP="004C4774">
      <w:r w:rsidRPr="00A6446D">
        <w:rPr>
          <w:rFonts w:cs="NunitoSans-Bold"/>
          <w:b/>
          <w:bCs/>
        </w:rPr>
        <w:t>Issue</w:t>
      </w:r>
      <w:r w:rsidRPr="00A6446D">
        <w:t>: The main issue considered by the Court was the meaning of the words ‘adult person’ under section 41.</w:t>
      </w:r>
    </w:p>
    <w:p w14:paraId="0D5DB383" w14:textId="77777777" w:rsidR="001E539C" w:rsidRPr="00A6446D" w:rsidRDefault="001E539C" w:rsidP="004C4774">
      <w:r w:rsidRPr="00A6446D">
        <w:rPr>
          <w:rFonts w:cs="NunitoSans-Bold"/>
          <w:b/>
          <w:bCs/>
        </w:rPr>
        <w:lastRenderedPageBreak/>
        <w:t xml:space="preserve">Verdict: </w:t>
      </w:r>
      <w:r w:rsidRPr="00A6446D">
        <w:t>The High Court unanimously decided Susan King was not an adult person.</w:t>
      </w:r>
    </w:p>
    <w:p w14:paraId="5EBC68F4" w14:textId="77777777" w:rsidR="001E539C" w:rsidRPr="00A6446D" w:rsidRDefault="001E539C" w:rsidP="004C4774">
      <w:r w:rsidRPr="00A6446D">
        <w:rPr>
          <w:rFonts w:cs="NunitoSans-Bold"/>
          <w:b/>
          <w:bCs/>
        </w:rPr>
        <w:t>Reasoning</w:t>
      </w:r>
      <w:r w:rsidRPr="00A6446D">
        <w:t>: The Court held that the meaning of ‘</w:t>
      </w:r>
      <w:proofErr w:type="gramStart"/>
      <w:r w:rsidRPr="00A6446D">
        <w:t>adult‘ for</w:t>
      </w:r>
      <w:proofErr w:type="gramEnd"/>
      <w:r w:rsidRPr="00A6446D">
        <w:t xml:space="preserve"> the purposes of section 41 was fixed with the meaning it had in 1901, which was 21.</w:t>
      </w:r>
    </w:p>
    <w:p w14:paraId="7D13339A" w14:textId="77777777" w:rsidR="001E539C" w:rsidRPr="00A6446D" w:rsidRDefault="001E539C" w:rsidP="004C4774">
      <w:r w:rsidRPr="00A6446D">
        <w:rPr>
          <w:rFonts w:cs="NunitoSans-Bold"/>
          <w:b/>
          <w:bCs/>
        </w:rPr>
        <w:t>To consider</w:t>
      </w:r>
      <w:r w:rsidRPr="00A6446D">
        <w:t>: In 1973 the Parliament of Australia passed a law to lower the voting age to 18-years-old for federal elections.</w:t>
      </w:r>
    </w:p>
    <w:p w14:paraId="64AF886A" w14:textId="77777777" w:rsidR="001E539C" w:rsidRPr="00084E8A" w:rsidRDefault="001E539C" w:rsidP="00084E8A">
      <w:pPr>
        <w:pStyle w:val="ListParagraph"/>
      </w:pPr>
      <w:r w:rsidRPr="00084E8A">
        <w:t>How and why has ‘the ordinary legal meaning’ of an adult changed since 1972?</w:t>
      </w:r>
    </w:p>
    <w:p w14:paraId="3D1132E2" w14:textId="77777777" w:rsidR="001E539C" w:rsidRPr="00084E8A" w:rsidRDefault="001E539C" w:rsidP="00084E8A">
      <w:pPr>
        <w:pStyle w:val="ListParagraph"/>
      </w:pPr>
      <w:r w:rsidRPr="00084E8A">
        <w:t>What factors should be considered when defining what it means to be adult?</w:t>
      </w:r>
    </w:p>
    <w:p w14:paraId="57D9E2EA" w14:textId="77777777" w:rsidR="001E539C" w:rsidRPr="00084E8A" w:rsidRDefault="001E539C" w:rsidP="00084E8A">
      <w:pPr>
        <w:pStyle w:val="ListParagraph"/>
      </w:pPr>
      <w:r w:rsidRPr="00084E8A">
        <w:t>Can Alex Lee be considered an adult by today’s standards?</w:t>
      </w:r>
    </w:p>
    <w:p w14:paraId="5CE30A8A" w14:textId="77777777" w:rsidR="001E539C" w:rsidRPr="004C4774" w:rsidRDefault="001E539C" w:rsidP="00D2693F">
      <w:pPr>
        <w:pStyle w:val="Heading2"/>
      </w:pPr>
      <w:r w:rsidRPr="004C4774">
        <w:t>Does section 41 guarantee a right to vote in federal elections?</w:t>
      </w:r>
    </w:p>
    <w:p w14:paraId="0D1840AE" w14:textId="6293D814" w:rsidR="001E539C" w:rsidRPr="00A6446D" w:rsidRDefault="001E539C" w:rsidP="00084E8A">
      <w:pPr>
        <w:pStyle w:val="Heading3"/>
      </w:pPr>
      <w:r w:rsidRPr="00A6446D">
        <w:t xml:space="preserve">Key precedent case: </w:t>
      </w:r>
      <w:hyperlink r:id="rId13" w:history="1">
        <w:r w:rsidRPr="00114C8B">
          <w:rPr>
            <w:rStyle w:val="Hyperlink"/>
            <w:rFonts w:ascii="Nunito Sans" w:hAnsi="Nunito Sans"/>
            <w:i/>
            <w:iCs/>
          </w:rPr>
          <w:t>R v Pearson</w:t>
        </w:r>
        <w:r w:rsidRPr="00114C8B">
          <w:rPr>
            <w:rStyle w:val="Hyperlink"/>
            <w:rFonts w:ascii="Nunito Sans" w:hAnsi="Nunito Sans"/>
          </w:rPr>
          <w:t xml:space="preserve"> (1983</w:t>
        </w:r>
        <w:r w:rsidR="008D1B5F" w:rsidRPr="00114C8B">
          <w:rPr>
            <w:rStyle w:val="Hyperlink"/>
            <w:rFonts w:ascii="Nunito Sans" w:hAnsi="Nunito Sans"/>
          </w:rPr>
          <w:t>) 152 CLR 254</w:t>
        </w:r>
      </w:hyperlink>
    </w:p>
    <w:p w14:paraId="7675FFF1" w14:textId="77777777" w:rsidR="001E539C" w:rsidRPr="00A6446D" w:rsidRDefault="001E539C" w:rsidP="004C4774">
      <w:r w:rsidRPr="00A6446D">
        <w:rPr>
          <w:rFonts w:cs="NunitoSans-Bold"/>
          <w:b/>
          <w:bCs/>
        </w:rPr>
        <w:t>Facts</w:t>
      </w:r>
      <w:r w:rsidRPr="00A6446D">
        <w:t>: In 1983 a federal law stated that, if you enrolled to vote after 6pm on the day a federal election was called, your enrolment would not be processed until after the election. Four adult citizens from New South Wales who were enrolled to vote in state elections, tried to enrol to vote in the 1983 federal election after the cut-off time. When they were refused, they took the case to the High Court, arguing that section 41 meant they had a constitutional right to vote in the upcoming federal election.</w:t>
      </w:r>
    </w:p>
    <w:p w14:paraId="27E8AB40" w14:textId="77777777" w:rsidR="001E539C" w:rsidRPr="00A6446D" w:rsidRDefault="001E539C" w:rsidP="004C4774">
      <w:r w:rsidRPr="00A6446D">
        <w:rPr>
          <w:rFonts w:cs="NunitoSans-Bold"/>
          <w:b/>
          <w:bCs/>
        </w:rPr>
        <w:t>Issue</w:t>
      </w:r>
      <w:r w:rsidRPr="00A6446D">
        <w:t>: The main issue considered by the Court was whether section 41 guaranteed the 4 adult citizens a right to vote in the federal election.</w:t>
      </w:r>
    </w:p>
    <w:p w14:paraId="23FE82E7" w14:textId="77777777" w:rsidR="001E539C" w:rsidRPr="00A6446D" w:rsidRDefault="001E539C" w:rsidP="004C4774">
      <w:r w:rsidRPr="00A6446D">
        <w:rPr>
          <w:rFonts w:cs="NunitoSans-Bold"/>
          <w:b/>
          <w:bCs/>
        </w:rPr>
        <w:t xml:space="preserve">Verdict: </w:t>
      </w:r>
      <w:r w:rsidRPr="00A6446D">
        <w:t>A majority of 6 judges found that section 41 does not guarantee a right to vote in federal elections.</w:t>
      </w:r>
    </w:p>
    <w:p w14:paraId="75F0AAC9" w14:textId="77777777" w:rsidR="001E539C" w:rsidRPr="00A6446D" w:rsidRDefault="001E539C" w:rsidP="004C4774">
      <w:r w:rsidRPr="00A6446D">
        <w:rPr>
          <w:rFonts w:cs="NunitoSans-Bold"/>
          <w:b/>
          <w:bCs/>
        </w:rPr>
        <w:t>Reasoning</w:t>
      </w:r>
      <w:r w:rsidRPr="00A6446D">
        <w:t>: The majority argued that when the Constitution was written the purpose of section 41 was to make sure those who could vote in state elections could also vote federally but only up until the newly created Australian Parliament made laws to define who could vote (which it did in 1902). Anyone who enrolled to vote at a state level after 1902 could not rely on this section to give them a right to vote federally.</w:t>
      </w:r>
    </w:p>
    <w:p w14:paraId="2CD4DD2D" w14:textId="77777777" w:rsidR="001E539C" w:rsidRPr="004C4774" w:rsidRDefault="001E539C" w:rsidP="00084E8A">
      <w:pPr>
        <w:pStyle w:val="Heading3"/>
      </w:pPr>
      <w:r w:rsidRPr="004C4774">
        <w:t>To consider:</w:t>
      </w:r>
    </w:p>
    <w:p w14:paraId="7D35E06F" w14:textId="77777777" w:rsidR="001E539C" w:rsidRPr="004C4774" w:rsidRDefault="001E539C" w:rsidP="00084E8A">
      <w:pPr>
        <w:pStyle w:val="ListParagraph"/>
      </w:pPr>
      <w:r w:rsidRPr="004C4774">
        <w:t>If section 41 did guarantee a right to vote, the states could have influence over who could vote in federal elections. What could be the consequences of this?</w:t>
      </w:r>
    </w:p>
    <w:p w14:paraId="32537605" w14:textId="3D8C095B" w:rsidR="00B503D6" w:rsidRDefault="001E539C" w:rsidP="00F2371C">
      <w:pPr>
        <w:pStyle w:val="ListParagraph"/>
      </w:pPr>
      <w:r w:rsidRPr="004C4774">
        <w:t>The dissenting judgement in R v Pearson argued that the plain words of section 41 did guarantee a right to vote. Justice Murphy said that ‘a right to vote is so precious that it should not be read out of the Constitution by implication’. To what extent do you agree with this statement?</w:t>
      </w:r>
    </w:p>
    <w:p w14:paraId="35D53BEC" w14:textId="75703ECE" w:rsidR="004221C0" w:rsidRPr="00E81E1A" w:rsidRDefault="00E3772F" w:rsidP="00E81E1A">
      <w:pPr>
        <w:pStyle w:val="Introduction"/>
        <w:spacing w:after="120"/>
        <w:rPr>
          <w:rFonts w:cstheme="minorHAnsi"/>
          <w:lang w:eastAsia="en-AU"/>
        </w:rPr>
      </w:pPr>
      <w:r w:rsidRPr="00E81E1A">
        <w:rPr>
          <w:rFonts w:cstheme="minorHAnsi"/>
          <w:sz w:val="21"/>
          <w:szCs w:val="21"/>
        </w:rPr>
        <w:br w:type="column"/>
      </w:r>
      <w:r w:rsidR="004221C0" w:rsidRPr="00E81E1A">
        <w:rPr>
          <w:rFonts w:cstheme="minorHAnsi"/>
          <w:lang w:eastAsia="en-AU"/>
        </w:rPr>
        <w:lastRenderedPageBreak/>
        <w:t>Justices</w:t>
      </w:r>
    </w:p>
    <w:p w14:paraId="50689650" w14:textId="77777777" w:rsidR="004221C0" w:rsidRPr="00A6446D" w:rsidRDefault="004221C0" w:rsidP="00084E8A">
      <w:r w:rsidRPr="00A6446D">
        <w:t>Familiarise yourselves with the case law on this worksheet and prepare a list of questions to ask the legal teams.</w:t>
      </w:r>
    </w:p>
    <w:p w14:paraId="575B6323" w14:textId="77777777" w:rsidR="004221C0" w:rsidRPr="00084E8A" w:rsidRDefault="004221C0" w:rsidP="00D2693F">
      <w:pPr>
        <w:pStyle w:val="Heading2"/>
      </w:pPr>
      <w:r w:rsidRPr="00084E8A">
        <w:t>Legal teams</w:t>
      </w:r>
    </w:p>
    <w:p w14:paraId="67F71B04" w14:textId="77777777" w:rsidR="004221C0" w:rsidRPr="00A6446D" w:rsidRDefault="004221C0" w:rsidP="00084E8A">
      <w:r w:rsidRPr="00A6446D">
        <w:t>Familiarise yourselves with the case law on this worksheet. Prepare your arguments to present to the court. You will also need to provide a written summary of key arguments to the justices prior to the hearing.</w:t>
      </w:r>
    </w:p>
    <w:p w14:paraId="0DD45879" w14:textId="77777777" w:rsidR="004221C0" w:rsidRPr="00A6446D" w:rsidRDefault="004221C0" w:rsidP="00084E8A">
      <w:r w:rsidRPr="00A6446D">
        <w:t>A table like the one below can be used to summarise key points:</w:t>
      </w:r>
    </w:p>
    <w:tbl>
      <w:tblPr>
        <w:tblW w:w="8931" w:type="dxa"/>
        <w:tblInd w:w="-5"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CellMar>
          <w:top w:w="113" w:type="dxa"/>
          <w:left w:w="113" w:type="dxa"/>
          <w:bottom w:w="113" w:type="dxa"/>
          <w:right w:w="113" w:type="dxa"/>
        </w:tblCellMar>
        <w:tblLook w:val="04A0" w:firstRow="1" w:lastRow="0" w:firstColumn="1" w:lastColumn="0" w:noHBand="0" w:noVBand="1"/>
      </w:tblPr>
      <w:tblGrid>
        <w:gridCol w:w="6237"/>
        <w:gridCol w:w="2694"/>
      </w:tblGrid>
      <w:tr w:rsidR="004221C0" w:rsidRPr="00A6446D" w14:paraId="672ADB15" w14:textId="77777777" w:rsidTr="00084E8A">
        <w:tc>
          <w:tcPr>
            <w:tcW w:w="6237" w:type="dxa"/>
            <w:shd w:val="clear" w:color="auto" w:fill="CED2CD" w:themeFill="background1"/>
            <w:tcMar>
              <w:top w:w="113" w:type="dxa"/>
              <w:bottom w:w="85" w:type="dxa"/>
            </w:tcMar>
          </w:tcPr>
          <w:p w14:paraId="2652E2A4" w14:textId="77777777" w:rsidR="004221C0" w:rsidRPr="00084E8A" w:rsidRDefault="004221C0" w:rsidP="00084E8A">
            <w:pPr>
              <w:pStyle w:val="NoSpacing"/>
            </w:pPr>
            <w:r w:rsidRPr="00084E8A">
              <w:t>KEY ARGUMENTS</w:t>
            </w:r>
          </w:p>
        </w:tc>
        <w:tc>
          <w:tcPr>
            <w:tcW w:w="2694" w:type="dxa"/>
            <w:shd w:val="clear" w:color="auto" w:fill="CED2CD" w:themeFill="background1"/>
          </w:tcPr>
          <w:p w14:paraId="54CD6865" w14:textId="77777777" w:rsidR="004221C0" w:rsidRPr="00A6446D" w:rsidRDefault="004221C0" w:rsidP="00084E8A">
            <w:pPr>
              <w:pStyle w:val="NoSpacing"/>
            </w:pPr>
            <w:r w:rsidRPr="00A6446D">
              <w:t>PRECEDENT CASES</w:t>
            </w:r>
          </w:p>
        </w:tc>
      </w:tr>
      <w:tr w:rsidR="004221C0" w:rsidRPr="00A6446D" w14:paraId="005F9F71" w14:textId="77777777" w:rsidTr="00084E8A">
        <w:trPr>
          <w:trHeight w:val="2835"/>
        </w:trPr>
        <w:tc>
          <w:tcPr>
            <w:tcW w:w="6237" w:type="dxa"/>
          </w:tcPr>
          <w:p w14:paraId="7223A026" w14:textId="2C83BA3F" w:rsidR="004221C0" w:rsidRPr="00E81E1A" w:rsidRDefault="004221C0" w:rsidP="00084E8A">
            <w:pPr>
              <w:pStyle w:val="NoSpacing"/>
              <w:rPr>
                <w:rFonts w:asciiTheme="minorHAnsi" w:hAnsiTheme="minorHAnsi" w:cstheme="minorHAnsi"/>
                <w:b w:val="0"/>
                <w:bCs/>
              </w:rPr>
            </w:pPr>
          </w:p>
        </w:tc>
        <w:tc>
          <w:tcPr>
            <w:tcW w:w="2694" w:type="dxa"/>
          </w:tcPr>
          <w:p w14:paraId="5BC3C4BE" w14:textId="77777777" w:rsidR="004221C0" w:rsidRPr="00084E8A" w:rsidRDefault="004221C0" w:rsidP="00084E8A">
            <w:pPr>
              <w:pStyle w:val="NoSpacing"/>
              <w:rPr>
                <w:rFonts w:asciiTheme="minorHAnsi" w:hAnsiTheme="minorHAnsi" w:cstheme="minorHAnsi"/>
                <w:b w:val="0"/>
                <w:bCs/>
              </w:rPr>
            </w:pPr>
            <w:r w:rsidRPr="00084E8A">
              <w:rPr>
                <w:rFonts w:asciiTheme="minorHAnsi" w:hAnsiTheme="minorHAnsi" w:cstheme="minorHAnsi"/>
                <w:b w:val="0"/>
                <w:bCs/>
                <w:i/>
                <w:iCs w:val="0"/>
              </w:rPr>
              <w:t>King v Jones</w:t>
            </w:r>
            <w:r w:rsidRPr="00084E8A">
              <w:rPr>
                <w:rFonts w:asciiTheme="minorHAnsi" w:hAnsiTheme="minorHAnsi" w:cstheme="minorHAnsi"/>
                <w:b w:val="0"/>
                <w:bCs/>
              </w:rPr>
              <w:t xml:space="preserve"> (1972)</w:t>
            </w:r>
          </w:p>
        </w:tc>
      </w:tr>
      <w:tr w:rsidR="004221C0" w:rsidRPr="00A6446D" w14:paraId="375556E3" w14:textId="77777777" w:rsidTr="00084E8A">
        <w:trPr>
          <w:trHeight w:val="2835"/>
        </w:trPr>
        <w:tc>
          <w:tcPr>
            <w:tcW w:w="6237" w:type="dxa"/>
          </w:tcPr>
          <w:p w14:paraId="6F747389" w14:textId="529BB7D3" w:rsidR="00483D0F" w:rsidRPr="00E81E1A" w:rsidRDefault="00483D0F" w:rsidP="00084E8A">
            <w:pPr>
              <w:pStyle w:val="NoSpacing"/>
              <w:rPr>
                <w:rFonts w:asciiTheme="minorHAnsi" w:hAnsiTheme="minorHAnsi" w:cstheme="minorHAnsi"/>
                <w:b w:val="0"/>
                <w:bCs/>
              </w:rPr>
            </w:pPr>
          </w:p>
        </w:tc>
        <w:tc>
          <w:tcPr>
            <w:tcW w:w="2694" w:type="dxa"/>
          </w:tcPr>
          <w:p w14:paraId="61814588" w14:textId="77777777" w:rsidR="004221C0" w:rsidRPr="00084E8A" w:rsidRDefault="004221C0" w:rsidP="00084E8A">
            <w:pPr>
              <w:pStyle w:val="NoSpacing"/>
              <w:rPr>
                <w:rFonts w:asciiTheme="minorHAnsi" w:hAnsiTheme="minorHAnsi" w:cstheme="minorHAnsi"/>
                <w:b w:val="0"/>
                <w:bCs/>
              </w:rPr>
            </w:pPr>
            <w:r w:rsidRPr="00084E8A">
              <w:rPr>
                <w:rFonts w:asciiTheme="minorHAnsi" w:hAnsiTheme="minorHAnsi" w:cstheme="minorHAnsi"/>
                <w:b w:val="0"/>
                <w:bCs/>
                <w:i/>
                <w:iCs w:val="0"/>
              </w:rPr>
              <w:t>R v Pearson</w:t>
            </w:r>
            <w:r w:rsidRPr="00084E8A">
              <w:rPr>
                <w:rFonts w:asciiTheme="minorHAnsi" w:hAnsiTheme="minorHAnsi" w:cstheme="minorHAnsi"/>
                <w:b w:val="0"/>
                <w:bCs/>
              </w:rPr>
              <w:t xml:space="preserve"> (1983)</w:t>
            </w:r>
          </w:p>
        </w:tc>
      </w:tr>
    </w:tbl>
    <w:p w14:paraId="64E55202" w14:textId="52512C90" w:rsidR="00002D80" w:rsidRPr="00002D80" w:rsidRDefault="00002D80" w:rsidP="00002D80">
      <w:pPr>
        <w:tabs>
          <w:tab w:val="left" w:pos="6504"/>
        </w:tabs>
      </w:pPr>
    </w:p>
    <w:sectPr w:rsidR="00002D80" w:rsidRPr="00002D80" w:rsidSect="00D2693F">
      <w:footerReference w:type="default" r:id="rId14"/>
      <w:headerReference w:type="first" r:id="rId15"/>
      <w:footerReference w:type="first" r:id="rId16"/>
      <w:pgSz w:w="11906" w:h="16838"/>
      <w:pgMar w:top="1418" w:right="1418" w:bottom="1418" w:left="1418"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80C1" w14:textId="77777777" w:rsidR="009E3211" w:rsidRDefault="009E3211" w:rsidP="00412C93">
      <w:pPr>
        <w:spacing w:after="0" w:line="240" w:lineRule="auto"/>
      </w:pPr>
      <w:r>
        <w:separator/>
      </w:r>
    </w:p>
  </w:endnote>
  <w:endnote w:type="continuationSeparator" w:id="0">
    <w:p w14:paraId="0C0B7334" w14:textId="77777777" w:rsidR="009E3211" w:rsidRDefault="009E3211"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Sans-Light">
    <w:altName w:val="Calibri"/>
    <w:panose1 w:val="00000000000000000000"/>
    <w:charset w:val="00"/>
    <w:family w:val="swiss"/>
    <w:notTrueType/>
    <w:pitch w:val="default"/>
    <w:sig w:usb0="00000003" w:usb1="00000000" w:usb2="00000000" w:usb3="00000000" w:csb0="00000001" w:csb1="00000000"/>
  </w:font>
  <w:font w:name="NunitoSans-BoldItalic">
    <w:altName w:val="Calibri"/>
    <w:panose1 w:val="00000000000000000000"/>
    <w:charset w:val="00"/>
    <w:family w:val="swiss"/>
    <w:notTrueType/>
    <w:pitch w:val="default"/>
    <w:sig w:usb0="00000003" w:usb1="00000000" w:usb2="00000000" w:usb3="00000000" w:csb0="00000001" w:csb1="00000000"/>
  </w:font>
  <w:font w:name="NunitoSans-Bold">
    <w:altName w:val="Calibri"/>
    <w:panose1 w:val="00000000000000000000"/>
    <w:charset w:val="00"/>
    <w:family w:val="swiss"/>
    <w:notTrueType/>
    <w:pitch w:val="default"/>
    <w:sig w:usb0="00000003" w:usb1="00000000" w:usb2="00000000" w:usb3="00000000" w:csb0="00000001"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356312"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203F0AA8" w14:textId="0B04FBD6"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 xml:space="preserve">Teach &gt; Classroom activities &gt; </w:t>
    </w:r>
    <w:r w:rsidR="00B97D24">
      <w:rPr>
        <w:color w:val="676365" w:themeColor="text1" w:themeTint="BF"/>
        <w:sz w:val="16"/>
        <w:szCs w:val="16"/>
      </w:rPr>
      <w:t>How Parliament works</w:t>
    </w:r>
    <w:r w:rsidRPr="00341D33">
      <w:rPr>
        <w:color w:val="676365" w:themeColor="text1" w:themeTint="BF"/>
        <w:sz w:val="16"/>
        <w:szCs w:val="16"/>
      </w:rPr>
      <w:t xml:space="preserve"> &gt; </w:t>
    </w:r>
    <w:r w:rsidR="00002D80">
      <w:rPr>
        <w:color w:val="676365" w:themeColor="text1" w:themeTint="BF"/>
        <w:sz w:val="16"/>
        <w:szCs w:val="16"/>
      </w:rPr>
      <w:t>Interpret the Constitution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F9A05D"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" strokecolor="#ced2cd [3212]" strokeweight="1pt">
              <v:stroke joinstyle="miter"/>
            </v:line>
          </w:pict>
        </mc:Fallback>
      </mc:AlternateContent>
    </w:r>
  </w:p>
  <w:p w14:paraId="46EC4AA0" w14:textId="6081F48D" w:rsidR="00337D9F" w:rsidRPr="004C4774" w:rsidRDefault="00337D9F" w:rsidP="00337D9F">
    <w:pPr>
      <w:pStyle w:val="Footer"/>
      <w:tabs>
        <w:tab w:val="clear" w:pos="4513"/>
      </w:tabs>
      <w:rPr>
        <w:rFonts w:cstheme="minorHAnsi"/>
        <w:color w:val="676365" w:themeColor="text1" w:themeTint="BF"/>
        <w:sz w:val="16"/>
        <w:szCs w:val="16"/>
      </w:rPr>
    </w:pPr>
    <w:r w:rsidRPr="004C4774">
      <w:rPr>
        <w:rFonts w:cstheme="minorHAnsi"/>
        <w:color w:val="676365" w:themeColor="text1" w:themeTint="BF"/>
        <w:sz w:val="16"/>
        <w:szCs w:val="16"/>
      </w:rPr>
      <w:tab/>
      <w:t xml:space="preserve">Teach &gt; Classroom activities &gt; </w:t>
    </w:r>
    <w:r w:rsidR="00390DE9" w:rsidRPr="004C4774">
      <w:rPr>
        <w:rFonts w:cstheme="minorHAnsi"/>
        <w:color w:val="676365" w:themeColor="text1" w:themeTint="BF"/>
        <w:sz w:val="16"/>
        <w:szCs w:val="16"/>
      </w:rPr>
      <w:softHyphen/>
    </w:r>
    <w:r w:rsidR="00390DE9" w:rsidRPr="004C4774">
      <w:rPr>
        <w:rFonts w:cstheme="minorHAnsi"/>
        <w:color w:val="676365" w:themeColor="text1" w:themeTint="BF"/>
        <w:sz w:val="16"/>
        <w:szCs w:val="16"/>
      </w:rPr>
      <w:softHyphen/>
    </w:r>
    <w:r w:rsidR="000C2488" w:rsidRPr="004C4774">
      <w:rPr>
        <w:rFonts w:cstheme="minorHAnsi"/>
        <w:color w:val="676365" w:themeColor="text1" w:themeTint="BF"/>
        <w:sz w:val="16"/>
        <w:szCs w:val="16"/>
      </w:rPr>
      <w:t>How Parliament works</w:t>
    </w:r>
    <w:r w:rsidRPr="004C4774">
      <w:rPr>
        <w:rFonts w:cstheme="minorHAnsi"/>
        <w:color w:val="676365" w:themeColor="text1" w:themeTint="BF"/>
        <w:sz w:val="16"/>
        <w:szCs w:val="16"/>
      </w:rPr>
      <w:t xml:space="preserve"> &gt; </w:t>
    </w:r>
    <w:r w:rsidR="000C2488" w:rsidRPr="004C4774">
      <w:rPr>
        <w:rFonts w:cstheme="minorHAnsi"/>
        <w:color w:val="676365" w:themeColor="text1" w:themeTint="BF"/>
        <w:sz w:val="16"/>
        <w:szCs w:val="16"/>
      </w:rPr>
      <w:t>Interpret the Constitution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822F" w14:textId="77777777" w:rsidR="009E3211" w:rsidRDefault="009E3211" w:rsidP="00412C93">
      <w:pPr>
        <w:spacing w:after="0" w:line="240" w:lineRule="auto"/>
      </w:pPr>
      <w:r>
        <w:separator/>
      </w:r>
    </w:p>
  </w:footnote>
  <w:footnote w:type="continuationSeparator" w:id="0">
    <w:p w14:paraId="45065DC7" w14:textId="77777777" w:rsidR="009E3211" w:rsidRDefault="009E3211"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CD2E" w14:textId="15832E37" w:rsidR="004C4774" w:rsidRPr="0093585D" w:rsidRDefault="004C4774" w:rsidP="0093585D">
    <w:pPr>
      <w:pStyle w:val="Title"/>
      <w:tabs>
        <w:tab w:val="left" w:pos="3600"/>
        <w:tab w:val="right" w:pos="8931"/>
      </w:tabs>
      <w:rPr>
        <w:rFonts w:ascii="Arial" w:hAnsi="Arial" w:cs="Arial"/>
        <w:noProof/>
        <w:lang w:eastAsia="en-AU"/>
      </w:rPr>
    </w:pPr>
    <w:bookmarkStart w:id="0" w:name="_Hlk209795439"/>
    <w:bookmarkStart w:id="1" w:name="_Hlk42595341"/>
    <w:bookmarkStart w:id="2" w:name="_Hlk42595342"/>
    <w:bookmarkStart w:id="3" w:name="_Hlk42595489"/>
    <w:bookmarkStart w:id="4" w:name="_Hlk42595490"/>
    <w:r w:rsidRPr="0093585D">
      <w:rPr>
        <w:rFonts w:ascii="Arial" w:hAnsi="Arial" w:cs="Arial"/>
        <w:noProof/>
        <w:lang w:eastAsia="en-AU"/>
      </w:rPr>
      <w:drawing>
        <wp:inline distT="0" distB="0" distL="0" distR="0" wp14:anchorId="792AA003" wp14:editId="73499B02">
          <wp:extent cx="1794294" cy="643446"/>
          <wp:effectExtent l="0" t="0" r="0" b="4445"/>
          <wp:docPr id="226900182" name="Picture 226900182" descr="A black and yellow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AI-generated content may be incorrect.">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93585D">
      <w:rPr>
        <w:rFonts w:ascii="Arial" w:hAnsi="Arial" w:cs="Arial"/>
      </w:rPr>
      <w:t xml:space="preserve"> </w:t>
    </w:r>
    <w:r w:rsidRPr="0093585D">
      <w:rPr>
        <w:rFonts w:ascii="Arial" w:hAnsi="Arial" w:cs="Arial"/>
        <w:sz w:val="36"/>
        <w:szCs w:val="36"/>
      </w:rPr>
      <w:tab/>
    </w:r>
    <w:r w:rsidRPr="0093585D">
      <w:rPr>
        <w:rFonts w:ascii="Arial" w:hAnsi="Arial" w:cs="Arial"/>
        <w:sz w:val="36"/>
        <w:szCs w:val="36"/>
      </w:rPr>
      <w:tab/>
    </w:r>
    <w:bookmarkStart w:id="5" w:name="_Hlk209795268"/>
    <w:r w:rsidRPr="00E81E1A">
      <w:rPr>
        <w:rFonts w:ascii="Arial" w:hAnsi="Arial" w:cs="Arial"/>
        <w:color w:val="676365"/>
        <w:spacing w:val="6"/>
        <w:sz w:val="36"/>
        <w:szCs w:val="36"/>
      </w:rPr>
      <w:t>PEO.GOV.AU</w:t>
    </w:r>
  </w:p>
  <w:bookmarkEnd w:id="0"/>
  <w:bookmarkEnd w:id="5"/>
  <w:p w14:paraId="6E9BF34A" w14:textId="2CC437F6" w:rsidR="00337D9F" w:rsidRPr="004C4774" w:rsidRDefault="004C4774" w:rsidP="004C4774">
    <w:pPr>
      <w:pStyle w:val="Header"/>
    </w:pPr>
    <w:r>
      <w:rPr>
        <w:noProof/>
        <w:lang w:eastAsia="en-AU"/>
      </w:rPr>
      <mc:AlternateContent>
        <mc:Choice Requires="wps">
          <w:drawing>
            <wp:anchor distT="0" distB="0" distL="114300" distR="114300" simplePos="0" relativeHeight="251675648" behindDoc="0" locked="0" layoutInCell="1" allowOverlap="1" wp14:anchorId="69CC88BF" wp14:editId="66A6EC50">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77D81"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bookmarkEnd w:id="1"/>
    <w:bookmarkEnd w:id="2"/>
    <w:bookmarkEnd w:id="3"/>
    <w:bookmarkEnd w:id="4"/>
    <w:r>
      <w:rPr>
        <w:noProof/>
        <w:lang w:eastAsia="en-AU"/>
      </w:rPr>
      <mc:AlternateContent>
        <mc:Choice Requires="wps">
          <w:drawing>
            <wp:anchor distT="0" distB="0" distL="114300" distR="114300" simplePos="0" relativeHeight="251674624" behindDoc="0" locked="0" layoutInCell="1" allowOverlap="1" wp14:anchorId="2CC4AC9A" wp14:editId="101E6D3C">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DDC14"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B198CB7A"/>
    <w:lvl w:ilvl="0" w:tplc="A78404DA">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8"/>
  </w:num>
  <w:num w:numId="10" w16cid:durableId="159870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2D80"/>
    <w:rsid w:val="000070E3"/>
    <w:rsid w:val="000209F0"/>
    <w:rsid w:val="00024CC1"/>
    <w:rsid w:val="000263C9"/>
    <w:rsid w:val="000321EE"/>
    <w:rsid w:val="00034A24"/>
    <w:rsid w:val="00040353"/>
    <w:rsid w:val="00043346"/>
    <w:rsid w:val="00047036"/>
    <w:rsid w:val="000506C5"/>
    <w:rsid w:val="000568D0"/>
    <w:rsid w:val="00057DDB"/>
    <w:rsid w:val="00064D47"/>
    <w:rsid w:val="000668FB"/>
    <w:rsid w:val="00077DD1"/>
    <w:rsid w:val="00083742"/>
    <w:rsid w:val="00084E8A"/>
    <w:rsid w:val="00086512"/>
    <w:rsid w:val="00091D71"/>
    <w:rsid w:val="000961D8"/>
    <w:rsid w:val="00096C78"/>
    <w:rsid w:val="000A022F"/>
    <w:rsid w:val="000A6444"/>
    <w:rsid w:val="000A7D3E"/>
    <w:rsid w:val="000B1F5F"/>
    <w:rsid w:val="000C12D6"/>
    <w:rsid w:val="000C246B"/>
    <w:rsid w:val="000C2488"/>
    <w:rsid w:val="000D0449"/>
    <w:rsid w:val="000D15C8"/>
    <w:rsid w:val="000D298F"/>
    <w:rsid w:val="000D4199"/>
    <w:rsid w:val="000E17DA"/>
    <w:rsid w:val="000E1957"/>
    <w:rsid w:val="000E220F"/>
    <w:rsid w:val="000E4D17"/>
    <w:rsid w:val="000E587E"/>
    <w:rsid w:val="000E5D14"/>
    <w:rsid w:val="000E7A2A"/>
    <w:rsid w:val="000E7C91"/>
    <w:rsid w:val="000E7F9D"/>
    <w:rsid w:val="000F14A8"/>
    <w:rsid w:val="000F3D14"/>
    <w:rsid w:val="000F5B9E"/>
    <w:rsid w:val="000F7CAA"/>
    <w:rsid w:val="001050AC"/>
    <w:rsid w:val="0011164E"/>
    <w:rsid w:val="001138F3"/>
    <w:rsid w:val="00114740"/>
    <w:rsid w:val="00114C8B"/>
    <w:rsid w:val="00114D60"/>
    <w:rsid w:val="00116335"/>
    <w:rsid w:val="00121631"/>
    <w:rsid w:val="00124A23"/>
    <w:rsid w:val="00125340"/>
    <w:rsid w:val="0012561F"/>
    <w:rsid w:val="00125A27"/>
    <w:rsid w:val="001272CE"/>
    <w:rsid w:val="0014392A"/>
    <w:rsid w:val="00145459"/>
    <w:rsid w:val="001467FF"/>
    <w:rsid w:val="001531A3"/>
    <w:rsid w:val="0015331A"/>
    <w:rsid w:val="001550DD"/>
    <w:rsid w:val="00156A4F"/>
    <w:rsid w:val="00156F64"/>
    <w:rsid w:val="00160D61"/>
    <w:rsid w:val="00161C74"/>
    <w:rsid w:val="00163452"/>
    <w:rsid w:val="001703CE"/>
    <w:rsid w:val="00176C78"/>
    <w:rsid w:val="00176E1C"/>
    <w:rsid w:val="001775FD"/>
    <w:rsid w:val="0018076A"/>
    <w:rsid w:val="00181C1E"/>
    <w:rsid w:val="0019008A"/>
    <w:rsid w:val="001911B1"/>
    <w:rsid w:val="00193597"/>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539C"/>
    <w:rsid w:val="001E66E5"/>
    <w:rsid w:val="001E6D26"/>
    <w:rsid w:val="001F5AB3"/>
    <w:rsid w:val="002032FB"/>
    <w:rsid w:val="00204808"/>
    <w:rsid w:val="00207C72"/>
    <w:rsid w:val="00220682"/>
    <w:rsid w:val="00220C7A"/>
    <w:rsid w:val="00230255"/>
    <w:rsid w:val="00232204"/>
    <w:rsid w:val="002418D0"/>
    <w:rsid w:val="0024549C"/>
    <w:rsid w:val="00246A82"/>
    <w:rsid w:val="002475D9"/>
    <w:rsid w:val="00250655"/>
    <w:rsid w:val="00255B24"/>
    <w:rsid w:val="00256516"/>
    <w:rsid w:val="00256569"/>
    <w:rsid w:val="00256E0C"/>
    <w:rsid w:val="00260068"/>
    <w:rsid w:val="002619A7"/>
    <w:rsid w:val="0026398F"/>
    <w:rsid w:val="00264EA3"/>
    <w:rsid w:val="00267FD7"/>
    <w:rsid w:val="002722F8"/>
    <w:rsid w:val="00276A75"/>
    <w:rsid w:val="00276BF4"/>
    <w:rsid w:val="00276C39"/>
    <w:rsid w:val="00286854"/>
    <w:rsid w:val="002905EE"/>
    <w:rsid w:val="002926B7"/>
    <w:rsid w:val="00292DC5"/>
    <w:rsid w:val="00293240"/>
    <w:rsid w:val="00297EFF"/>
    <w:rsid w:val="002A04B8"/>
    <w:rsid w:val="002A215C"/>
    <w:rsid w:val="002A3911"/>
    <w:rsid w:val="002A412B"/>
    <w:rsid w:val="002A55D2"/>
    <w:rsid w:val="002A6BB6"/>
    <w:rsid w:val="002A7647"/>
    <w:rsid w:val="002B40C7"/>
    <w:rsid w:val="002B64F1"/>
    <w:rsid w:val="002C19D6"/>
    <w:rsid w:val="002C585A"/>
    <w:rsid w:val="002D30CE"/>
    <w:rsid w:val="002D599C"/>
    <w:rsid w:val="002E6EBE"/>
    <w:rsid w:val="00302C55"/>
    <w:rsid w:val="00307750"/>
    <w:rsid w:val="00310D78"/>
    <w:rsid w:val="00311D0B"/>
    <w:rsid w:val="00317347"/>
    <w:rsid w:val="003226B1"/>
    <w:rsid w:val="00330283"/>
    <w:rsid w:val="00337D9F"/>
    <w:rsid w:val="00341D33"/>
    <w:rsid w:val="00344084"/>
    <w:rsid w:val="00350B1D"/>
    <w:rsid w:val="00354CBF"/>
    <w:rsid w:val="00355BA8"/>
    <w:rsid w:val="0036281B"/>
    <w:rsid w:val="003660CC"/>
    <w:rsid w:val="00372D07"/>
    <w:rsid w:val="0037372C"/>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D6820"/>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21C0"/>
    <w:rsid w:val="00424AF8"/>
    <w:rsid w:val="00425E22"/>
    <w:rsid w:val="00435CBA"/>
    <w:rsid w:val="00436642"/>
    <w:rsid w:val="004418CE"/>
    <w:rsid w:val="00443C93"/>
    <w:rsid w:val="00444180"/>
    <w:rsid w:val="00446224"/>
    <w:rsid w:val="00446659"/>
    <w:rsid w:val="00447DCA"/>
    <w:rsid w:val="004573B9"/>
    <w:rsid w:val="00460DCF"/>
    <w:rsid w:val="00464231"/>
    <w:rsid w:val="00466270"/>
    <w:rsid w:val="004664E3"/>
    <w:rsid w:val="004679B0"/>
    <w:rsid w:val="00470BBA"/>
    <w:rsid w:val="004717EB"/>
    <w:rsid w:val="0047243B"/>
    <w:rsid w:val="00473770"/>
    <w:rsid w:val="00480979"/>
    <w:rsid w:val="00480D12"/>
    <w:rsid w:val="00483D0F"/>
    <w:rsid w:val="00484B09"/>
    <w:rsid w:val="00487ACF"/>
    <w:rsid w:val="0049197D"/>
    <w:rsid w:val="004935C6"/>
    <w:rsid w:val="004943B9"/>
    <w:rsid w:val="00495129"/>
    <w:rsid w:val="004A1494"/>
    <w:rsid w:val="004A25D1"/>
    <w:rsid w:val="004B4BA2"/>
    <w:rsid w:val="004B510E"/>
    <w:rsid w:val="004B6B2F"/>
    <w:rsid w:val="004B7243"/>
    <w:rsid w:val="004C018D"/>
    <w:rsid w:val="004C03D0"/>
    <w:rsid w:val="004C13A0"/>
    <w:rsid w:val="004C1843"/>
    <w:rsid w:val="004C2C48"/>
    <w:rsid w:val="004C4774"/>
    <w:rsid w:val="004D25F9"/>
    <w:rsid w:val="004D4E8D"/>
    <w:rsid w:val="004D5742"/>
    <w:rsid w:val="004D6260"/>
    <w:rsid w:val="004E208C"/>
    <w:rsid w:val="004E69A4"/>
    <w:rsid w:val="004F30F8"/>
    <w:rsid w:val="004F567F"/>
    <w:rsid w:val="00500743"/>
    <w:rsid w:val="00501063"/>
    <w:rsid w:val="005022F6"/>
    <w:rsid w:val="00506658"/>
    <w:rsid w:val="0050743F"/>
    <w:rsid w:val="00513E84"/>
    <w:rsid w:val="00513F2E"/>
    <w:rsid w:val="00516D2E"/>
    <w:rsid w:val="00520031"/>
    <w:rsid w:val="0052019C"/>
    <w:rsid w:val="00520810"/>
    <w:rsid w:val="005209DE"/>
    <w:rsid w:val="00521C19"/>
    <w:rsid w:val="00522D67"/>
    <w:rsid w:val="005234DD"/>
    <w:rsid w:val="00527717"/>
    <w:rsid w:val="00533402"/>
    <w:rsid w:val="00534B6A"/>
    <w:rsid w:val="00537AFC"/>
    <w:rsid w:val="005424D3"/>
    <w:rsid w:val="00547CB1"/>
    <w:rsid w:val="00552990"/>
    <w:rsid w:val="0055563A"/>
    <w:rsid w:val="00561135"/>
    <w:rsid w:val="00562450"/>
    <w:rsid w:val="00562493"/>
    <w:rsid w:val="00562CFA"/>
    <w:rsid w:val="005641C5"/>
    <w:rsid w:val="005659AF"/>
    <w:rsid w:val="00570C05"/>
    <w:rsid w:val="00573045"/>
    <w:rsid w:val="005734E9"/>
    <w:rsid w:val="005742FE"/>
    <w:rsid w:val="00580FAD"/>
    <w:rsid w:val="005814D2"/>
    <w:rsid w:val="0058381B"/>
    <w:rsid w:val="00586C7D"/>
    <w:rsid w:val="0059172E"/>
    <w:rsid w:val="0059237F"/>
    <w:rsid w:val="00593804"/>
    <w:rsid w:val="00595375"/>
    <w:rsid w:val="005A1604"/>
    <w:rsid w:val="005A19C4"/>
    <w:rsid w:val="005A3D12"/>
    <w:rsid w:val="005A46C6"/>
    <w:rsid w:val="005A69B4"/>
    <w:rsid w:val="005A6FAA"/>
    <w:rsid w:val="005B2B05"/>
    <w:rsid w:val="005C2D97"/>
    <w:rsid w:val="005C649E"/>
    <w:rsid w:val="005C7196"/>
    <w:rsid w:val="005D3D6A"/>
    <w:rsid w:val="005D6D06"/>
    <w:rsid w:val="005E2548"/>
    <w:rsid w:val="005E71FA"/>
    <w:rsid w:val="005F1D30"/>
    <w:rsid w:val="005F3779"/>
    <w:rsid w:val="005F393E"/>
    <w:rsid w:val="00600549"/>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1AC0"/>
    <w:rsid w:val="00662B18"/>
    <w:rsid w:val="00664F8F"/>
    <w:rsid w:val="0067304D"/>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1674D"/>
    <w:rsid w:val="00726099"/>
    <w:rsid w:val="0073098B"/>
    <w:rsid w:val="007322F7"/>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4146"/>
    <w:rsid w:val="00794B93"/>
    <w:rsid w:val="00795978"/>
    <w:rsid w:val="007A0600"/>
    <w:rsid w:val="007A44C5"/>
    <w:rsid w:val="007A44CF"/>
    <w:rsid w:val="007A7574"/>
    <w:rsid w:val="007A77DC"/>
    <w:rsid w:val="007B2336"/>
    <w:rsid w:val="007B7AC0"/>
    <w:rsid w:val="007C237A"/>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63DC"/>
    <w:rsid w:val="008367AE"/>
    <w:rsid w:val="008401FA"/>
    <w:rsid w:val="0084049D"/>
    <w:rsid w:val="008450D4"/>
    <w:rsid w:val="008462CB"/>
    <w:rsid w:val="00847E10"/>
    <w:rsid w:val="00862A64"/>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1B5F"/>
    <w:rsid w:val="008D3EDF"/>
    <w:rsid w:val="008D4677"/>
    <w:rsid w:val="008D49F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2995"/>
    <w:rsid w:val="00924716"/>
    <w:rsid w:val="009326EC"/>
    <w:rsid w:val="00932BB7"/>
    <w:rsid w:val="00933681"/>
    <w:rsid w:val="00936C8F"/>
    <w:rsid w:val="00940D6C"/>
    <w:rsid w:val="00947A82"/>
    <w:rsid w:val="00947E61"/>
    <w:rsid w:val="009500CC"/>
    <w:rsid w:val="009529EF"/>
    <w:rsid w:val="009548D5"/>
    <w:rsid w:val="00956E30"/>
    <w:rsid w:val="009612D8"/>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3B19"/>
    <w:rsid w:val="009A4C46"/>
    <w:rsid w:val="009B2DC0"/>
    <w:rsid w:val="009B3901"/>
    <w:rsid w:val="009B7926"/>
    <w:rsid w:val="009B7943"/>
    <w:rsid w:val="009D12EC"/>
    <w:rsid w:val="009D3A36"/>
    <w:rsid w:val="009D642F"/>
    <w:rsid w:val="009D7751"/>
    <w:rsid w:val="009E1A29"/>
    <w:rsid w:val="009E3211"/>
    <w:rsid w:val="009E3A69"/>
    <w:rsid w:val="009F6263"/>
    <w:rsid w:val="009F6E61"/>
    <w:rsid w:val="009F74DD"/>
    <w:rsid w:val="00A0186C"/>
    <w:rsid w:val="00A03B5A"/>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B6092"/>
    <w:rsid w:val="00AC1402"/>
    <w:rsid w:val="00AC33DF"/>
    <w:rsid w:val="00AC6130"/>
    <w:rsid w:val="00AC63E3"/>
    <w:rsid w:val="00AD44EC"/>
    <w:rsid w:val="00AD475F"/>
    <w:rsid w:val="00AD7DD7"/>
    <w:rsid w:val="00AE0F49"/>
    <w:rsid w:val="00AE5C1D"/>
    <w:rsid w:val="00AF4DA7"/>
    <w:rsid w:val="00AF69BD"/>
    <w:rsid w:val="00B0049B"/>
    <w:rsid w:val="00B02355"/>
    <w:rsid w:val="00B0329E"/>
    <w:rsid w:val="00B129D9"/>
    <w:rsid w:val="00B20B9D"/>
    <w:rsid w:val="00B21468"/>
    <w:rsid w:val="00B21E79"/>
    <w:rsid w:val="00B238E8"/>
    <w:rsid w:val="00B258ED"/>
    <w:rsid w:val="00B34389"/>
    <w:rsid w:val="00B37346"/>
    <w:rsid w:val="00B4540E"/>
    <w:rsid w:val="00B503D6"/>
    <w:rsid w:val="00B50DFA"/>
    <w:rsid w:val="00B5509C"/>
    <w:rsid w:val="00B552BA"/>
    <w:rsid w:val="00B57464"/>
    <w:rsid w:val="00B643BE"/>
    <w:rsid w:val="00B746AA"/>
    <w:rsid w:val="00B85641"/>
    <w:rsid w:val="00B906D5"/>
    <w:rsid w:val="00B90B86"/>
    <w:rsid w:val="00B92FE0"/>
    <w:rsid w:val="00B976F8"/>
    <w:rsid w:val="00B97D24"/>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C8B"/>
    <w:rsid w:val="00C31CD5"/>
    <w:rsid w:val="00C41784"/>
    <w:rsid w:val="00C42B9E"/>
    <w:rsid w:val="00C445E0"/>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1E56"/>
    <w:rsid w:val="00D140B2"/>
    <w:rsid w:val="00D142E9"/>
    <w:rsid w:val="00D144EF"/>
    <w:rsid w:val="00D17A92"/>
    <w:rsid w:val="00D2182E"/>
    <w:rsid w:val="00D24548"/>
    <w:rsid w:val="00D24B01"/>
    <w:rsid w:val="00D25E58"/>
    <w:rsid w:val="00D2693F"/>
    <w:rsid w:val="00D36081"/>
    <w:rsid w:val="00D3699A"/>
    <w:rsid w:val="00D377A3"/>
    <w:rsid w:val="00D37849"/>
    <w:rsid w:val="00D5181A"/>
    <w:rsid w:val="00D60A45"/>
    <w:rsid w:val="00D71640"/>
    <w:rsid w:val="00D76EF5"/>
    <w:rsid w:val="00D8136B"/>
    <w:rsid w:val="00D81823"/>
    <w:rsid w:val="00D87050"/>
    <w:rsid w:val="00D920F2"/>
    <w:rsid w:val="00D947AF"/>
    <w:rsid w:val="00D952A7"/>
    <w:rsid w:val="00DA171B"/>
    <w:rsid w:val="00DA20A6"/>
    <w:rsid w:val="00DA419F"/>
    <w:rsid w:val="00DA65D1"/>
    <w:rsid w:val="00DA66FC"/>
    <w:rsid w:val="00DC545B"/>
    <w:rsid w:val="00DC7436"/>
    <w:rsid w:val="00DD2302"/>
    <w:rsid w:val="00DD3773"/>
    <w:rsid w:val="00DD4390"/>
    <w:rsid w:val="00DE0444"/>
    <w:rsid w:val="00DE102B"/>
    <w:rsid w:val="00DE22C0"/>
    <w:rsid w:val="00DF0F52"/>
    <w:rsid w:val="00DF14D6"/>
    <w:rsid w:val="00DF2871"/>
    <w:rsid w:val="00DF6C9E"/>
    <w:rsid w:val="00DF6D6D"/>
    <w:rsid w:val="00E001D4"/>
    <w:rsid w:val="00E018C0"/>
    <w:rsid w:val="00E02D2E"/>
    <w:rsid w:val="00E03670"/>
    <w:rsid w:val="00E045A3"/>
    <w:rsid w:val="00E1073C"/>
    <w:rsid w:val="00E15050"/>
    <w:rsid w:val="00E157B7"/>
    <w:rsid w:val="00E203BC"/>
    <w:rsid w:val="00E229F5"/>
    <w:rsid w:val="00E22AE4"/>
    <w:rsid w:val="00E26369"/>
    <w:rsid w:val="00E26DC5"/>
    <w:rsid w:val="00E334E6"/>
    <w:rsid w:val="00E33D72"/>
    <w:rsid w:val="00E345E6"/>
    <w:rsid w:val="00E3772F"/>
    <w:rsid w:val="00E533CD"/>
    <w:rsid w:val="00E5414A"/>
    <w:rsid w:val="00E620C2"/>
    <w:rsid w:val="00E623F2"/>
    <w:rsid w:val="00E639CE"/>
    <w:rsid w:val="00E63AAE"/>
    <w:rsid w:val="00E63BB0"/>
    <w:rsid w:val="00E63FB7"/>
    <w:rsid w:val="00E67601"/>
    <w:rsid w:val="00E72AC4"/>
    <w:rsid w:val="00E770FC"/>
    <w:rsid w:val="00E81E1A"/>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371C"/>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96D57"/>
    <w:rsid w:val="00FA28D7"/>
    <w:rsid w:val="00FA6EA0"/>
    <w:rsid w:val="00FB47C0"/>
    <w:rsid w:val="00FB48D7"/>
    <w:rsid w:val="00FC10DB"/>
    <w:rsid w:val="00FC20CD"/>
    <w:rsid w:val="00FC42BC"/>
    <w:rsid w:val="00FD2BA5"/>
    <w:rsid w:val="00FD666B"/>
    <w:rsid w:val="00FE000E"/>
    <w:rsid w:val="00FE0E6B"/>
    <w:rsid w:val="00FE2F33"/>
    <w:rsid w:val="00FE6037"/>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74"/>
    <w:pPr>
      <w:spacing w:after="120" w:line="288" w:lineRule="auto"/>
    </w:pPr>
    <w:rPr>
      <w:sz w:val="21"/>
      <w:szCs w:val="21"/>
    </w:rPr>
  </w:style>
  <w:style w:type="paragraph" w:styleId="Heading1">
    <w:name w:val="heading 1"/>
    <w:basedOn w:val="Normal"/>
    <w:next w:val="Normal"/>
    <w:link w:val="Heading1Char"/>
    <w:uiPriority w:val="9"/>
    <w:qFormat/>
    <w:rsid w:val="004C4774"/>
    <w:pPr>
      <w:keepNext/>
      <w:keepLines/>
      <w:spacing w:before="120" w:after="60"/>
      <w:outlineLvl w:val="0"/>
    </w:pPr>
    <w:rPr>
      <w:rFonts w:asciiTheme="majorHAnsi" w:eastAsiaTheme="majorEastAsia" w:hAnsiTheme="majorHAnsi" w:cstheme="majorHAnsi"/>
      <w:b/>
      <w:sz w:val="36"/>
      <w:szCs w:val="36"/>
    </w:rPr>
  </w:style>
  <w:style w:type="paragraph" w:styleId="Heading2">
    <w:name w:val="heading 2"/>
    <w:basedOn w:val="Normal"/>
    <w:next w:val="Normal"/>
    <w:link w:val="Heading2Char"/>
    <w:uiPriority w:val="9"/>
    <w:qFormat/>
    <w:rsid w:val="00D2693F"/>
    <w:pPr>
      <w:keepNext/>
      <w:keepLines/>
      <w:spacing w:before="360" w:after="80"/>
      <w:outlineLvl w:val="1"/>
    </w:pPr>
    <w:rPr>
      <w:rFonts w:asciiTheme="majorHAnsi" w:eastAsiaTheme="majorEastAsia" w:hAnsiTheme="majorHAnsi" w:cstheme="majorHAnsi"/>
      <w:bCs/>
      <w:color w:val="007495" w:themeColor="accent1"/>
      <w:sz w:val="28"/>
      <w:szCs w:val="28"/>
    </w:rPr>
  </w:style>
  <w:style w:type="paragraph" w:styleId="Heading3">
    <w:name w:val="heading 3"/>
    <w:basedOn w:val="Normal"/>
    <w:next w:val="Normal"/>
    <w:link w:val="Heading3Char"/>
    <w:uiPriority w:val="9"/>
    <w:rsid w:val="00084E8A"/>
    <w:pPr>
      <w:keepNext/>
      <w:keepLines/>
      <w:spacing w:before="200" w:after="40"/>
      <w:outlineLvl w:val="2"/>
    </w:pPr>
    <w:rPr>
      <w:rFonts w:asciiTheme="majorHAnsi" w:eastAsiaTheme="majorEastAsia" w:hAnsiTheme="majorHAnsi" w:cstheme="majorHAns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qFormat/>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4C4774"/>
    <w:rPr>
      <w:rFonts w:asciiTheme="majorHAnsi" w:eastAsiaTheme="majorEastAsia" w:hAnsiTheme="majorHAnsi" w:cstheme="majorHAnsi"/>
      <w:b/>
      <w:sz w:val="36"/>
      <w:szCs w:val="36"/>
    </w:rPr>
  </w:style>
  <w:style w:type="character" w:customStyle="1" w:styleId="Heading2Char">
    <w:name w:val="Heading 2 Char"/>
    <w:basedOn w:val="DefaultParagraphFont"/>
    <w:link w:val="Heading2"/>
    <w:uiPriority w:val="9"/>
    <w:rsid w:val="00D2693F"/>
    <w:rPr>
      <w:rFonts w:asciiTheme="majorHAnsi" w:eastAsiaTheme="majorEastAsia" w:hAnsiTheme="majorHAnsi" w:cstheme="majorHAnsi"/>
      <w:bCs/>
      <w:color w:val="007495" w:themeColor="accent1"/>
      <w:sz w:val="28"/>
      <w:szCs w:val="28"/>
    </w:rPr>
  </w:style>
  <w:style w:type="character" w:customStyle="1" w:styleId="Heading3Char">
    <w:name w:val="Heading 3 Char"/>
    <w:basedOn w:val="DefaultParagraphFont"/>
    <w:link w:val="Heading3"/>
    <w:uiPriority w:val="9"/>
    <w:rsid w:val="00084E8A"/>
    <w:rPr>
      <w:rFonts w:asciiTheme="majorHAnsi" w:eastAsiaTheme="majorEastAsia" w:hAnsiTheme="majorHAnsi" w:cstheme="majorHAns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084E8A"/>
    <w:pPr>
      <w:spacing w:after="0" w:line="228" w:lineRule="auto"/>
    </w:pPr>
    <w:rPr>
      <w:rFonts w:asciiTheme="majorHAnsi" w:hAnsiTheme="majorHAnsi" w:cstheme="majorHAnsi"/>
      <w:b/>
      <w:iCs/>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084E8A"/>
    <w:pPr>
      <w:numPr>
        <w:numId w:val="1"/>
      </w:numPr>
      <w:spacing w:after="60"/>
      <w:ind w:left="284" w:hanging="284"/>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4C4774"/>
    <w:pPr>
      <w:spacing w:after="240"/>
    </w:pPr>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084E8A"/>
    <w:rPr>
      <w:rFonts w:asciiTheme="majorHAnsi" w:hAnsiTheme="majorHAnsi" w:cstheme="majorHAnsi"/>
      <w:b/>
      <w:iCs/>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customStyle="1" w:styleId="TableGrid2">
    <w:name w:val="Table Grid2"/>
    <w:basedOn w:val="TableNormal"/>
    <w:next w:val="TableGrid"/>
    <w:uiPriority w:val="59"/>
    <w:rsid w:val="00302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ade.io/article/6708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ade.io/article/663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ic.austlii.edu.au/cgi-bin/sinodisp/au/cases/cth/HCA/1972/44.html?stem=0&amp;synonyms=0&amp;query=title(King%20and%20Jones%20(1972)%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PEO Sept 2025">
  <a:themeElements>
    <a:clrScheme name="PEO 1">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2.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4.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941</Words>
  <Characters>4435</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Versey, Shaun (SEN)</cp:lastModifiedBy>
  <cp:revision>5</cp:revision>
  <dcterms:created xsi:type="dcterms:W3CDTF">2025-09-30T05:30:00Z</dcterms:created>
  <dcterms:modified xsi:type="dcterms:W3CDTF">2025-10-14T03:41:00Z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