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="000D2389" w:rsidP="00EB2CF5" w:rsidRDefault="000D2389" w14:paraId="45E5165D" w14:textId="77777777"/>
    <w:p w:rsidRPr="00266AC3" w:rsidR="00266AC3" w:rsidP="00266AC3" w:rsidRDefault="00266AC3" w14:paraId="193A35C8" w14:textId="3C1BC988">
      <w:pPr>
        <w:pStyle w:val="Introduction"/>
        <w:spacing w:before="240"/>
        <w:rPr>
          <w:rFonts w:ascii="Nunito Sans" w:hAnsi="Nunito Sans"/>
          <w:sz w:val="36"/>
          <w:szCs w:val="36"/>
        </w:rPr>
      </w:pPr>
      <w:r w:rsidRPr="00266AC3">
        <w:rPr>
          <w:rFonts w:ascii="Nunito Sans" w:hAnsi="Nunito Sans"/>
          <w:sz w:val="36"/>
          <w:szCs w:val="36"/>
        </w:rPr>
        <w:t>Fair Rules</w:t>
      </w:r>
    </w:p>
    <w:p w:rsidRPr="00266AC3" w:rsidR="00EB2CF5" w:rsidP="000D2389" w:rsidRDefault="00EB2CF5" w14:paraId="3F160424" w14:textId="6042BFFD">
      <w:pPr>
        <w:pStyle w:val="Introduction"/>
        <w:rPr>
          <w:rFonts w:ascii="Nunito Sans" w:hAnsi="Nunito Sans"/>
          <w:sz w:val="24"/>
        </w:rPr>
      </w:pPr>
      <w:r w:rsidRPr="00266AC3">
        <w:rPr>
          <w:rFonts w:ascii="Nunito Sans" w:hAnsi="Nunito Sans"/>
          <w:sz w:val="24"/>
        </w:rPr>
        <w:t xml:space="preserve">Circle the </w:t>
      </w:r>
      <w:r w:rsidR="00266AC3">
        <w:rPr>
          <w:rFonts w:ascii="Nunito Sans" w:hAnsi="Nunito Sans"/>
          <w:sz w:val="24"/>
        </w:rPr>
        <w:t>emoji</w:t>
      </w:r>
      <w:r w:rsidRPr="00266AC3">
        <w:rPr>
          <w:rFonts w:ascii="Nunito Sans" w:hAnsi="Nunito Sans"/>
          <w:sz w:val="24"/>
        </w:rPr>
        <w:t xml:space="preserve"> that best reflects how you feel about each statement.</w:t>
      </w:r>
    </w:p>
    <w:tbl>
      <w:tblPr>
        <w:tblStyle w:val="TableGrid1"/>
        <w:tblW w:w="9639" w:type="dxa"/>
        <w:tblInd w:w="-5" w:type="dxa"/>
        <w:tblBorders>
          <w:top w:val="single" w:color="CED2CD" w:themeColor="background1" w:sz="4" w:space="0"/>
          <w:left w:val="single" w:color="CED2CD" w:themeColor="background1" w:sz="4" w:space="0"/>
          <w:bottom w:val="single" w:color="CED2CD" w:themeColor="background1" w:sz="4" w:space="0"/>
          <w:right w:val="single" w:color="CED2CD" w:themeColor="background1" w:sz="4" w:space="0"/>
          <w:insideH w:val="single" w:color="CED2CD" w:themeColor="background1" w:sz="4" w:space="0"/>
          <w:insideV w:val="single" w:color="CED2CD" w:themeColor="background1" w:sz="4" w:space="0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4536"/>
      </w:tblGrid>
      <w:tr w:rsidRPr="00266AC3" w:rsidR="000D2389" w:rsidTr="3AFB7B46" w14:paraId="5FA98C2A" w14:textId="02B9C38A">
        <w:trPr>
          <w:cantSplit/>
          <w:trHeight w:val="223"/>
        </w:trPr>
        <w:tc>
          <w:tcPr>
            <w:tcW w:w="2552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266AC3" w:rsidR="005D55C8" w:rsidP="005D55C8" w:rsidRDefault="005D55C8" w14:paraId="66156427" w14:textId="2C5B381B">
            <w:pPr>
              <w:pStyle w:val="Tableheading"/>
              <w:rPr>
                <w:rFonts w:ascii="Nunito Sans" w:hAnsi="Nunito Sans"/>
                <w:b/>
                <w:bCs/>
                <w:color w:val="333132" w:themeColor="text1"/>
                <w:sz w:val="22"/>
                <w:szCs w:val="22"/>
              </w:rPr>
            </w:pPr>
            <w:r w:rsidRPr="00266AC3">
              <w:rPr>
                <w:rFonts w:ascii="Nunito Sans" w:hAnsi="Nunito Sans"/>
                <w:b/>
                <w:bCs/>
                <w:color w:val="333132" w:themeColor="text1"/>
                <w:sz w:val="22"/>
                <w:szCs w:val="22"/>
              </w:rPr>
              <w:t>STATEMENT</w:t>
            </w:r>
          </w:p>
        </w:tc>
        <w:tc>
          <w:tcPr>
            <w:tcW w:w="2551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266AC3" w:rsidR="005D55C8" w:rsidP="005D55C8" w:rsidRDefault="005D55C8" w14:paraId="5DB02746" w14:textId="7BCC3D00">
            <w:pPr>
              <w:pStyle w:val="Tableheading"/>
              <w:rPr>
                <w:rFonts w:ascii="Nunito Sans" w:hAnsi="Nunito Sans"/>
                <w:b/>
                <w:bCs/>
                <w:color w:val="333132" w:themeColor="text1"/>
                <w:sz w:val="22"/>
                <w:szCs w:val="22"/>
              </w:rPr>
            </w:pPr>
            <w:r w:rsidRPr="00266AC3">
              <w:rPr>
                <w:rFonts w:ascii="Nunito Sans" w:hAnsi="Nunito Sans"/>
                <w:b/>
                <w:bCs/>
                <w:color w:val="333132" w:themeColor="text1"/>
                <w:sz w:val="22"/>
                <w:szCs w:val="22"/>
              </w:rPr>
              <w:t xml:space="preserve">FEELING </w:t>
            </w:r>
          </w:p>
        </w:tc>
        <w:tc>
          <w:tcPr>
            <w:tcW w:w="4536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266AC3" w:rsidR="005D55C8" w:rsidP="005D55C8" w:rsidRDefault="005D55C8" w14:paraId="49DF92FA" w14:textId="39DF99D2">
            <w:pPr>
              <w:pStyle w:val="Tableheading"/>
              <w:rPr>
                <w:rFonts w:ascii="Nunito Sans" w:hAnsi="Nunito Sans"/>
                <w:b/>
                <w:bCs/>
                <w:color w:val="333132" w:themeColor="text1"/>
                <w:sz w:val="22"/>
                <w:szCs w:val="22"/>
              </w:rPr>
            </w:pPr>
            <w:r w:rsidRPr="00266AC3">
              <w:rPr>
                <w:rFonts w:ascii="Nunito Sans" w:hAnsi="Nunito Sans"/>
                <w:b/>
                <w:bCs/>
                <w:color w:val="333132" w:themeColor="text1"/>
                <w:sz w:val="22"/>
                <w:szCs w:val="22"/>
              </w:rPr>
              <w:t>WHY?</w:t>
            </w:r>
          </w:p>
        </w:tc>
      </w:tr>
      <w:tr w:rsidRPr="00266AC3" w:rsidR="005D55C8" w:rsidTr="3AFB7B46" w14:paraId="7BA122E2" w14:textId="3297F209">
        <w:trPr>
          <w:trHeight w:val="1586"/>
        </w:trPr>
        <w:tc>
          <w:tcPr>
            <w:tcW w:w="2552" w:type="dxa"/>
            <w:shd w:val="clear" w:color="auto" w:fill="auto"/>
            <w:tcMar/>
          </w:tcPr>
          <w:p w:rsidRPr="00266AC3" w:rsidR="005D55C8" w:rsidP="00A94B6B" w:rsidRDefault="005D55C8" w14:paraId="05EF62E5" w14:textId="2FBBE926">
            <w:pPr>
              <w:pStyle w:val="Numberedlist"/>
              <w:spacing w:before="120" w:after="120"/>
              <w:rPr>
                <w:rFonts w:ascii="Nunito Sans" w:hAnsi="Nunito Sans"/>
                <w:b/>
              </w:rPr>
            </w:pPr>
            <w:r w:rsidRPr="00266AC3">
              <w:rPr>
                <w:rFonts w:ascii="Nunito Sans" w:hAnsi="Nunito Sans"/>
              </w:rPr>
              <w:t>Only adults can make and change rules</w:t>
            </w:r>
          </w:p>
        </w:tc>
        <w:tc>
          <w:tcPr>
            <w:tcW w:w="2551" w:type="dxa"/>
            <w:shd w:val="clear" w:color="auto" w:fill="auto"/>
            <w:tcMar>
              <w:left w:w="170" w:type="dxa"/>
              <w:right w:w="227" w:type="dxa"/>
            </w:tcMar>
          </w:tcPr>
          <w:p w:rsidRPr="00266AC3" w:rsidR="005D55C8" w:rsidP="00A94B6B" w:rsidRDefault="00354EAC" w14:paraId="4BB19D51" w14:textId="120CE899">
            <w:pPr>
              <w:spacing w:before="120"/>
              <w:jc w:val="center"/>
              <w:rPr>
                <w:rFonts w:ascii="Nunito Sans" w:hAnsi="Nunito Sans"/>
              </w:rPr>
            </w:pPr>
            <w:r w:rsidRPr="00266AC3">
              <w:rPr>
                <w:rFonts w:ascii="Nunito Sans" w:hAnsi="Nunito Sans"/>
                <w:noProof/>
              </w:rPr>
              <w:drawing>
                <wp:inline distT="0" distB="0" distL="0" distR="0" wp14:anchorId="1443EBD5" wp14:editId="0CBB1157">
                  <wp:extent cx="1224280" cy="339090"/>
                  <wp:effectExtent l="0" t="0" r="0" b="381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Mar/>
          </w:tcPr>
          <w:p w:rsidRPr="00266AC3" w:rsidR="005D55C8" w:rsidP="3AFB7B46" w:rsidRDefault="005D55C8" w14:noSpellErr="1" w14:paraId="4195781B" w14:textId="1A526D2E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25C2B02E" w14:textId="78C07637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48194962" w14:textId="76648DC6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3A8E1B06" w14:textId="46680432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60625656" w14:textId="6C5D9E78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388CB862" w14:textId="28E886F4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00DD3247" w:rsidRDefault="005D55C8" w14:paraId="77ED1A1E" w14:textId="6A6BB323">
            <w:pPr>
              <w:pStyle w:val="NoSpacing"/>
              <w:rPr>
                <w:rFonts w:ascii="Nunito Sans" w:hAnsi="Nunito Sans"/>
              </w:rPr>
            </w:pPr>
          </w:p>
        </w:tc>
      </w:tr>
      <w:tr w:rsidRPr="00266AC3" w:rsidR="005D55C8" w:rsidTr="3AFB7B46" w14:paraId="5AF2780B" w14:textId="7C449510">
        <w:trPr>
          <w:trHeight w:val="1810"/>
        </w:trPr>
        <w:tc>
          <w:tcPr>
            <w:tcW w:w="2552" w:type="dxa"/>
            <w:shd w:val="clear" w:color="auto" w:fill="auto"/>
            <w:tcMar/>
          </w:tcPr>
          <w:p w:rsidRPr="00266AC3" w:rsidR="005D55C8" w:rsidP="00A94B6B" w:rsidRDefault="005D55C8" w14:paraId="577FA52F" w14:textId="56EC1FA2">
            <w:pPr>
              <w:pStyle w:val="Numberedlist"/>
              <w:spacing w:before="120" w:after="120"/>
              <w:rPr>
                <w:rFonts w:ascii="Nunito Sans" w:hAnsi="Nunito Sans"/>
                <w:b/>
              </w:rPr>
            </w:pPr>
            <w:r w:rsidRPr="00266AC3">
              <w:rPr>
                <w:rFonts w:ascii="Nunito Sans" w:hAnsi="Nunito Sans"/>
              </w:rPr>
              <w:t>Rules are designed to keep us safe</w:t>
            </w:r>
          </w:p>
        </w:tc>
        <w:tc>
          <w:tcPr>
            <w:tcW w:w="2551" w:type="dxa"/>
            <w:shd w:val="clear" w:color="auto" w:fill="auto"/>
            <w:tcMar>
              <w:left w:w="170" w:type="dxa"/>
              <w:right w:w="227" w:type="dxa"/>
            </w:tcMar>
          </w:tcPr>
          <w:p w:rsidRPr="00266AC3" w:rsidR="005D55C8" w:rsidP="00A94B6B" w:rsidRDefault="00354EAC" w14:paraId="56F0F096" w14:textId="3525A84B">
            <w:pPr>
              <w:spacing w:before="120"/>
              <w:jc w:val="center"/>
              <w:rPr>
                <w:rFonts w:ascii="Nunito Sans" w:hAnsi="Nunito Sans"/>
              </w:rPr>
            </w:pPr>
            <w:r w:rsidRPr="00266AC3">
              <w:rPr>
                <w:rFonts w:ascii="Nunito Sans" w:hAnsi="Nunito Sans"/>
                <w:noProof/>
              </w:rPr>
              <w:drawing>
                <wp:inline distT="0" distB="0" distL="0" distR="0" wp14:anchorId="00B62562" wp14:editId="66C4D5CC">
                  <wp:extent cx="1224280" cy="339090"/>
                  <wp:effectExtent l="0" t="0" r="0" b="381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Mar/>
          </w:tcPr>
          <w:p w:rsidRPr="00266AC3" w:rsidR="005D55C8" w:rsidP="3AFB7B46" w:rsidRDefault="005D55C8" w14:noSpellErr="1" w14:paraId="5C09F822" w14:textId="5DCDAE2B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3984979E" w14:textId="7272F3E1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62F980AF" w14:textId="1A603077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0E706A21" w14:textId="2917149D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71697C1F" w14:textId="17689D15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518A5063" w14:textId="55355E2E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005D55C8" w:rsidRDefault="005D55C8" w14:paraId="744A95A3" w14:textId="43D5CC2D">
            <w:pPr>
              <w:pStyle w:val="NoSpacing"/>
              <w:rPr>
                <w:rFonts w:ascii="Nunito Sans" w:hAnsi="Nunito Sans"/>
              </w:rPr>
            </w:pPr>
          </w:p>
        </w:tc>
      </w:tr>
      <w:tr w:rsidRPr="00266AC3" w:rsidR="005D55C8" w:rsidTr="3AFB7B46" w14:paraId="630A23EA" w14:textId="142B3E3D">
        <w:trPr>
          <w:trHeight w:val="1810"/>
        </w:trPr>
        <w:tc>
          <w:tcPr>
            <w:tcW w:w="2552" w:type="dxa"/>
            <w:tcBorders>
              <w:bottom w:val="single" w:color="CED2CD" w:themeColor="background1" w:sz="4" w:space="0"/>
            </w:tcBorders>
            <w:shd w:val="clear" w:color="auto" w:fill="auto"/>
            <w:tcMar/>
          </w:tcPr>
          <w:p w:rsidRPr="00266AC3" w:rsidR="005D55C8" w:rsidP="00A94B6B" w:rsidRDefault="005D55C8" w14:paraId="0C25FD2E" w14:textId="30DBAA3F">
            <w:pPr>
              <w:pStyle w:val="Numberedlist"/>
              <w:spacing w:before="120" w:after="120"/>
              <w:rPr>
                <w:rFonts w:ascii="Nunito Sans" w:hAnsi="Nunito Sans"/>
                <w:b/>
              </w:rPr>
            </w:pPr>
            <w:r w:rsidRPr="00266AC3">
              <w:rPr>
                <w:rFonts w:ascii="Nunito Sans" w:hAnsi="Nunito Sans"/>
              </w:rPr>
              <w:t>Most places have rules</w:t>
            </w:r>
          </w:p>
        </w:tc>
        <w:tc>
          <w:tcPr>
            <w:tcW w:w="2551" w:type="dxa"/>
            <w:tcBorders>
              <w:bottom w:val="single" w:color="CED2CD" w:themeColor="background1" w:sz="4" w:space="0"/>
            </w:tcBorders>
            <w:shd w:val="clear" w:color="auto" w:fill="auto"/>
            <w:tcMar>
              <w:left w:w="170" w:type="dxa"/>
              <w:right w:w="227" w:type="dxa"/>
            </w:tcMar>
          </w:tcPr>
          <w:p w:rsidRPr="00266AC3" w:rsidR="005D55C8" w:rsidP="00A94B6B" w:rsidRDefault="00354EAC" w14:paraId="286E8FCD" w14:textId="5C96F95A">
            <w:pPr>
              <w:spacing w:before="120"/>
              <w:jc w:val="center"/>
              <w:rPr>
                <w:rFonts w:ascii="Nunito Sans" w:hAnsi="Nunito Sans"/>
              </w:rPr>
            </w:pPr>
            <w:r w:rsidRPr="00266AC3">
              <w:rPr>
                <w:rFonts w:ascii="Nunito Sans" w:hAnsi="Nunito Sans"/>
                <w:noProof/>
              </w:rPr>
              <w:drawing>
                <wp:inline distT="0" distB="0" distL="0" distR="0" wp14:anchorId="26E8C804" wp14:editId="4B4DFE85">
                  <wp:extent cx="1224280" cy="339090"/>
                  <wp:effectExtent l="0" t="0" r="0" b="381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Mar/>
          </w:tcPr>
          <w:p w:rsidRPr="00266AC3" w:rsidR="005D55C8" w:rsidP="3AFB7B46" w:rsidRDefault="005D55C8" w14:noSpellErr="1" w14:paraId="46D2C460" w14:textId="1E8B14A4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7AC7A042" w14:textId="60BEF8CF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5FFA1038" w14:textId="6946A2C1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7A9484F7" w14:textId="267D9CCC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14AD9C5A" w14:textId="53FA4192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005D55C8" w:rsidRDefault="005D55C8" w14:paraId="348F66E4" w14:textId="0E6262C8">
            <w:pPr>
              <w:pStyle w:val="NoSpacing"/>
              <w:rPr>
                <w:rFonts w:ascii="Nunito Sans" w:hAnsi="Nunito Sans"/>
              </w:rPr>
            </w:pPr>
          </w:p>
        </w:tc>
      </w:tr>
      <w:tr w:rsidRPr="00266AC3" w:rsidR="005D55C8" w:rsidTr="3AFB7B46" w14:paraId="1E2C6D15" w14:textId="37DCE3AD">
        <w:trPr>
          <w:trHeight w:val="1937"/>
        </w:trPr>
        <w:tc>
          <w:tcPr>
            <w:tcW w:w="2552" w:type="dxa"/>
            <w:shd w:val="clear" w:color="auto" w:fill="auto"/>
            <w:tcMar/>
          </w:tcPr>
          <w:p w:rsidRPr="00266AC3" w:rsidR="005D55C8" w:rsidP="00A94B6B" w:rsidRDefault="005D55C8" w14:paraId="74996DF1" w14:textId="761EF8CB">
            <w:pPr>
              <w:pStyle w:val="Numberedlist"/>
              <w:spacing w:before="120" w:after="120"/>
              <w:rPr>
                <w:rFonts w:ascii="Nunito Sans" w:hAnsi="Nunito Sans"/>
              </w:rPr>
            </w:pPr>
            <w:r w:rsidRPr="00266AC3">
              <w:rPr>
                <w:rFonts w:ascii="Nunito Sans" w:hAnsi="Nunito Sans"/>
              </w:rPr>
              <w:t>There should be different rules for different people or situations</w:t>
            </w:r>
          </w:p>
        </w:tc>
        <w:tc>
          <w:tcPr>
            <w:tcW w:w="2551" w:type="dxa"/>
            <w:shd w:val="clear" w:color="auto" w:fill="auto"/>
            <w:tcMar>
              <w:left w:w="170" w:type="dxa"/>
              <w:right w:w="227" w:type="dxa"/>
            </w:tcMar>
          </w:tcPr>
          <w:p w:rsidRPr="00266AC3" w:rsidR="005D55C8" w:rsidP="00A94B6B" w:rsidRDefault="00354EAC" w14:paraId="3D1B9E8D" w14:textId="628383BA">
            <w:pPr>
              <w:spacing w:before="120"/>
              <w:jc w:val="center"/>
              <w:rPr>
                <w:rFonts w:ascii="Nunito Sans" w:hAnsi="Nunito Sans"/>
              </w:rPr>
            </w:pPr>
            <w:r w:rsidRPr="00266AC3">
              <w:rPr>
                <w:rFonts w:ascii="Nunito Sans" w:hAnsi="Nunito Sans"/>
                <w:noProof/>
              </w:rPr>
              <w:drawing>
                <wp:inline distT="0" distB="0" distL="0" distR="0" wp14:anchorId="6A616324" wp14:editId="35253D7C">
                  <wp:extent cx="1224280" cy="339090"/>
                  <wp:effectExtent l="0" t="0" r="0" b="381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Mar/>
          </w:tcPr>
          <w:p w:rsidRPr="00266AC3" w:rsidR="005D55C8" w:rsidP="3AFB7B46" w:rsidRDefault="005D55C8" w14:noSpellErr="1" w14:paraId="373338EE" w14:textId="34B0DE4F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29C698BA" w14:textId="7752A2BE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7B7DA849" w14:textId="718215D7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2915885B" w14:textId="7509FCEE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43F468FF" w14:textId="428D42E5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62988DD2" w14:textId="5A4801E2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005D55C8" w:rsidRDefault="005D55C8" w14:paraId="679E658E" w14:textId="1006BA06">
            <w:pPr>
              <w:pStyle w:val="NoSpacing"/>
              <w:rPr>
                <w:rFonts w:ascii="Nunito Sans" w:hAnsi="Nunito Sans"/>
              </w:rPr>
            </w:pPr>
          </w:p>
        </w:tc>
      </w:tr>
      <w:tr w:rsidRPr="00266AC3" w:rsidR="005D55C8" w:rsidTr="3AFB7B46" w14:paraId="744426C4" w14:textId="06222090">
        <w:trPr>
          <w:trHeight w:val="1953"/>
        </w:trPr>
        <w:tc>
          <w:tcPr>
            <w:tcW w:w="2552" w:type="dxa"/>
            <w:shd w:val="clear" w:color="auto" w:fill="auto"/>
            <w:tcMar/>
          </w:tcPr>
          <w:p w:rsidRPr="00266AC3" w:rsidR="005D55C8" w:rsidP="00A94B6B" w:rsidRDefault="005D55C8" w14:paraId="1B1B3F35" w14:textId="1D3B6FA5">
            <w:pPr>
              <w:pStyle w:val="Numberedlist"/>
              <w:spacing w:before="120" w:after="120"/>
              <w:rPr>
                <w:rFonts w:ascii="Nunito Sans" w:hAnsi="Nunito Sans"/>
                <w:b/>
              </w:rPr>
            </w:pPr>
            <w:r w:rsidRPr="00266AC3">
              <w:rPr>
                <w:rFonts w:ascii="Nunito Sans" w:hAnsi="Nunito Sans"/>
              </w:rPr>
              <w:t>Good citizens break the rules</w:t>
            </w:r>
          </w:p>
        </w:tc>
        <w:tc>
          <w:tcPr>
            <w:tcW w:w="2551" w:type="dxa"/>
            <w:shd w:val="clear" w:color="auto" w:fill="auto"/>
            <w:tcMar>
              <w:left w:w="170" w:type="dxa"/>
              <w:right w:w="227" w:type="dxa"/>
            </w:tcMar>
          </w:tcPr>
          <w:p w:rsidRPr="00266AC3" w:rsidR="005D55C8" w:rsidP="00A94B6B" w:rsidRDefault="00354EAC" w14:paraId="7F548C12" w14:textId="029A3A0E">
            <w:pPr>
              <w:spacing w:before="120"/>
              <w:jc w:val="center"/>
              <w:rPr>
                <w:rFonts w:ascii="Nunito Sans" w:hAnsi="Nunito Sans"/>
              </w:rPr>
            </w:pPr>
            <w:r w:rsidRPr="00266AC3">
              <w:rPr>
                <w:rFonts w:ascii="Nunito Sans" w:hAnsi="Nunito Sans"/>
                <w:noProof/>
              </w:rPr>
              <w:drawing>
                <wp:inline distT="0" distB="0" distL="0" distR="0" wp14:anchorId="71B1CA54" wp14:editId="4CABEEE7">
                  <wp:extent cx="1224280" cy="339090"/>
                  <wp:effectExtent l="0" t="0" r="0" b="381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Mar/>
          </w:tcPr>
          <w:p w:rsidRPr="00266AC3" w:rsidR="005D55C8" w:rsidP="3AFB7B46" w:rsidRDefault="005D55C8" w14:noSpellErr="1" w14:paraId="15C501A6" w14:textId="4D407CF7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13C6610A" w14:textId="3BD06817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21FB7D4B" w14:textId="6280C688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25F8DC2F" w14:textId="2BCC8980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4429C651" w14:textId="52940B82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3AFB7B46" w:rsidRDefault="005D55C8" w14:paraId="7CC0955A" w14:textId="3AC106DF">
            <w:pPr>
              <w:pStyle w:val="NoSpacing"/>
              <w:rPr>
                <w:rFonts w:ascii="Nunito Sans" w:hAnsi="Nunito Sans"/>
              </w:rPr>
            </w:pPr>
          </w:p>
          <w:p w:rsidRPr="00266AC3" w:rsidR="005D55C8" w:rsidP="005D55C8" w:rsidRDefault="005D55C8" w14:paraId="698E9B1A" w14:textId="1996BAE7">
            <w:pPr>
              <w:pStyle w:val="NoSpacing"/>
              <w:rPr>
                <w:rFonts w:ascii="Nunito Sans" w:hAnsi="Nunito Sans"/>
              </w:rPr>
            </w:pPr>
          </w:p>
        </w:tc>
      </w:tr>
    </w:tbl>
    <w:p w:rsidR="004B0BBF" w:rsidP="00D567E6" w:rsidRDefault="004B0BBF" w14:paraId="2D980898" w14:textId="181BF97E">
      <w:pPr>
        <w:pStyle w:val="NoSpacing"/>
        <w:rPr>
          <w:rFonts w:ascii="Nunito Sans" w:hAnsi="Nunito Sans"/>
        </w:rPr>
      </w:pPr>
    </w:p>
    <w:p w:rsidRPr="00266AC3" w:rsidR="00266AC3" w:rsidP="00266AC3" w:rsidRDefault="00266AC3" w14:paraId="5AAB9339" w14:textId="77777777"/>
    <w:p w:rsidRPr="00266AC3" w:rsidR="00266AC3" w:rsidP="00266AC3" w:rsidRDefault="00266AC3" w14:paraId="2C7777EF" w14:textId="77777777"/>
    <w:p w:rsidRPr="00266AC3" w:rsidR="00266AC3" w:rsidP="00266AC3" w:rsidRDefault="00266AC3" w14:paraId="15B2AD3F" w14:textId="77777777"/>
    <w:p w:rsidRPr="00266AC3" w:rsidR="00266AC3" w:rsidP="00266AC3" w:rsidRDefault="00266AC3" w14:paraId="40333976" w14:textId="77777777"/>
    <w:sectPr w:rsidRPr="00266AC3" w:rsidR="00266AC3" w:rsidSect="000D2389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958" w:right="1134" w:bottom="709" w:left="1134" w:header="56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93" w:rsidP="00412C93" w:rsidRDefault="00412C93" w14:paraId="325E4091" w14:textId="77777777">
      <w:pPr>
        <w:spacing w:after="0" w:line="240" w:lineRule="auto"/>
      </w:pPr>
      <w:r>
        <w:separator/>
      </w:r>
    </w:p>
  </w:endnote>
  <w:endnote w:type="continuationSeparator" w:id="0">
    <w:p w:rsidR="00412C93" w:rsidP="00412C93" w:rsidRDefault="00412C93" w14:paraId="77E8F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1BE5B0A">
              <wp:simplePos x="0" y="0"/>
              <wp:positionH relativeFrom="column">
                <wp:posOffset>3810</wp:posOffset>
              </wp:positionH>
              <wp:positionV relativeFrom="paragraph">
                <wp:posOffset>33020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2.6pt" to="481.05pt,4.1pt" w14:anchorId="29106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Cg2A79wAAAAEAQAADwAAAAAAAAAAAAAAAAA3BAAAZHJzL2Rvd25yZXYueG1sUEsFBgAAAAAE&#10;AAQA8wAAAEAFAAAAAA==&#10;"/>
          </w:pict>
        </mc:Fallback>
      </mc:AlternateContent>
    </w:r>
  </w:p>
  <w:p w:rsidRPr="00E64AFA" w:rsidR="00412C93" w:rsidP="00E64AFA" w:rsidRDefault="00E64AFA" w14:paraId="203F0AA8" w14:textId="5F07E566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Teach &gt; </w:t>
    </w:r>
    <w:r w:rsidR="00266AC3">
      <w:rPr>
        <w:color w:val="676365" w:themeColor="text1" w:themeTint="BF"/>
        <w:sz w:val="18"/>
        <w:szCs w:val="18"/>
      </w:rPr>
      <w:t>Classroom activities</w:t>
    </w:r>
    <w:r w:rsidRPr="000F5DC2">
      <w:rPr>
        <w:color w:val="676365" w:themeColor="text1" w:themeTint="BF"/>
        <w:sz w:val="18"/>
        <w:szCs w:val="18"/>
      </w:rPr>
      <w:t xml:space="preserve"> &gt; </w:t>
    </w:r>
    <w:r w:rsidR="00266AC3">
      <w:rPr>
        <w:color w:val="676365" w:themeColor="text1" w:themeTint="BF"/>
        <w:sz w:val="18"/>
        <w:szCs w:val="18"/>
      </w:rPr>
      <w:t>Having your say &gt; Fair rules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93" w:rsidP="00412C93" w:rsidRDefault="00412C93" w14:paraId="448C151A" w14:textId="77777777">
      <w:pPr>
        <w:spacing w:after="0" w:line="240" w:lineRule="auto"/>
      </w:pPr>
      <w:r>
        <w:separator/>
      </w:r>
    </w:p>
  </w:footnote>
  <w:footnote w:type="continuationSeparator" w:id="0">
    <w:p w:rsidR="00412C93" w:rsidP="00412C93" w:rsidRDefault="00412C93" w14:paraId="54C56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66AC3" w:rsidR="00E64AFA" w:rsidP="000D2389" w:rsidRDefault="00A94B6B" w14:paraId="4445D1F4" w14:textId="46BA92BD">
    <w:pPr>
      <w:pStyle w:val="Title"/>
      <w:tabs>
        <w:tab w:val="clear" w:pos="9072"/>
        <w:tab w:val="right" w:pos="9638"/>
      </w:tabs>
      <w:jc w:val="left"/>
      <w:rPr>
        <w:rFonts w:ascii="Nunito Sans" w:hAnsi="Nunito Sans"/>
        <w:b w:val="0"/>
        <w:bCs/>
      </w:rPr>
    </w:pPr>
    <w:r w:rsidRPr="00266AC3">
      <w:rPr>
        <w:rFonts w:ascii="Nunito Sans" w:hAnsi="Nunito Sans"/>
        <w:b w:val="0"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6721D139">
              <wp:simplePos x="0" y="0"/>
              <wp:positionH relativeFrom="margin">
                <wp:posOffset>-6985</wp:posOffset>
              </wp:positionH>
              <wp:positionV relativeFrom="paragraph">
                <wp:posOffset>825500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333132 [3205]" strokeweight="1pt" from="-.55pt,65pt" to="479.6pt,65.75pt" w14:anchorId="27226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">
              <w10:wrap anchorx="margin"/>
            </v:line>
          </w:pict>
        </mc:Fallback>
      </mc:AlternateContent>
    </w:r>
    <w:r w:rsidRPr="00266AC3" w:rsidR="00E64AFA">
      <w:rPr>
        <w:rFonts w:ascii="Nunito Sans" w:hAnsi="Nunito Sans"/>
        <w:b w:val="0"/>
        <w:bCs/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66AC3" w:rsidR="00E64AFA">
      <w:rPr>
        <w:rFonts w:ascii="Nunito Sans" w:hAnsi="Nunito Sans"/>
        <w:b w:val="0"/>
        <w:bCs/>
      </w:rPr>
      <w:t xml:space="preserve"> </w:t>
    </w:r>
    <w:r w:rsidRPr="00266AC3" w:rsidR="000D2389">
      <w:rPr>
        <w:rFonts w:ascii="Nunito Sans" w:hAnsi="Nunito Sans"/>
        <w:b w:val="0"/>
        <w:bCs/>
      </w:rPr>
      <w:tab/>
    </w:r>
    <w:hyperlink w:history="1" r:id="rId3">
      <w:r w:rsidRPr="00266AC3" w:rsidR="00266AC3">
        <w:rPr>
          <w:rStyle w:val="Hyperlink"/>
          <w:rFonts w:ascii="Nunito Sans" w:hAnsi="Nunito Sans" w:cstheme="majorHAnsi"/>
          <w:b w:val="0"/>
          <w:bCs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0"/>
    <w:bookmarkStart w:name="_Hlk42595342" w:id="1"/>
    <w:bookmarkStart w:name="_Hlk42595489" w:id="2"/>
    <w:bookmarkStart w:name="_Hlk42595490" w:id="3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0"/>
  <w:bookmarkEnd w:id="1"/>
  <w:bookmarkEnd w:id="2"/>
  <w:bookmarkEnd w:id="3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565216B4"/>
    <w:lvl w:ilvl="0" w:tplc="35649F2E">
      <w:start w:val="1"/>
      <w:numFmt w:val="decimal"/>
      <w:pStyle w:val="Numberedlist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15955">
    <w:abstractNumId w:val="3"/>
  </w:num>
  <w:num w:numId="2" w16cid:durableId="1497988352">
    <w:abstractNumId w:val="5"/>
  </w:num>
  <w:num w:numId="3" w16cid:durableId="139033363">
    <w:abstractNumId w:val="1"/>
  </w:num>
  <w:num w:numId="4" w16cid:durableId="467166574">
    <w:abstractNumId w:val="4"/>
  </w:num>
  <w:num w:numId="5" w16cid:durableId="994602085">
    <w:abstractNumId w:val="4"/>
    <w:lvlOverride w:ilvl="0">
      <w:startOverride w:val="1"/>
    </w:lvlOverride>
  </w:num>
  <w:num w:numId="6" w16cid:durableId="544145981">
    <w:abstractNumId w:val="4"/>
    <w:lvlOverride w:ilvl="0">
      <w:startOverride w:val="1"/>
    </w:lvlOverride>
  </w:num>
  <w:num w:numId="7" w16cid:durableId="122314892">
    <w:abstractNumId w:val="4"/>
    <w:lvlOverride w:ilvl="0">
      <w:startOverride w:val="1"/>
    </w:lvlOverride>
  </w:num>
  <w:num w:numId="8" w16cid:durableId="963779085">
    <w:abstractNumId w:val="4"/>
    <w:lvlOverride w:ilvl="0">
      <w:startOverride w:val="1"/>
    </w:lvlOverride>
  </w:num>
  <w:num w:numId="9" w16cid:durableId="2043897071">
    <w:abstractNumId w:val="4"/>
    <w:lvlOverride w:ilvl="0">
      <w:startOverride w:val="1"/>
    </w:lvlOverride>
  </w:num>
  <w:num w:numId="10" w16cid:durableId="2089229349">
    <w:abstractNumId w:val="0"/>
  </w:num>
  <w:num w:numId="11" w16cid:durableId="1886485721">
    <w:abstractNumId w:val="2"/>
  </w:num>
  <w:num w:numId="12" w16cid:durableId="375587158">
    <w:abstractNumId w:val="4"/>
    <w:lvlOverride w:ilvl="0">
      <w:startOverride w:val="1"/>
    </w:lvlOverride>
  </w:num>
  <w:num w:numId="13" w16cid:durableId="296835739">
    <w:abstractNumId w:val="4"/>
    <w:lvlOverride w:ilvl="0">
      <w:startOverride w:val="1"/>
    </w:lvlOverride>
  </w:num>
  <w:num w:numId="14" w16cid:durableId="1704749368">
    <w:abstractNumId w:val="4"/>
    <w:lvlOverride w:ilvl="0">
      <w:startOverride w:val="1"/>
    </w:lvlOverride>
  </w:num>
  <w:num w:numId="15" w16cid:durableId="453208336">
    <w:abstractNumId w:val="4"/>
    <w:lvlOverride w:ilvl="0">
      <w:startOverride w:val="1"/>
    </w:lvlOverride>
  </w:num>
  <w:num w:numId="16" w16cid:durableId="2130270365">
    <w:abstractNumId w:val="4"/>
    <w:lvlOverride w:ilvl="0">
      <w:startOverride w:val="1"/>
    </w:lvlOverride>
  </w:num>
  <w:num w:numId="17" w16cid:durableId="64219878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389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6AC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4EAC"/>
    <w:rsid w:val="00355BA8"/>
    <w:rsid w:val="0036281B"/>
    <w:rsid w:val="003660CC"/>
    <w:rsid w:val="00373970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38BE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1483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55C8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4EAE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4B6B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567E6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2CF5"/>
    <w:rsid w:val="00EB5913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3A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D299E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5D55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Spacing"/>
    <w:link w:val="TableheadingChar"/>
    <w:qFormat/>
    <w:rsid w:val="005D55C8"/>
    <w:rPr>
      <w:rFonts w:ascii="Arial" w:hAnsi="Arial"/>
      <w:color w:val="007495" w:themeColor="text2"/>
      <w:sz w:val="16"/>
      <w:szCs w:val="16"/>
    </w:rPr>
  </w:style>
  <w:style w:type="character" w:styleId="TableheadingChar" w:customStyle="1">
    <w:name w:val="Table heading Char"/>
    <w:basedOn w:val="NoSpacingChar"/>
    <w:link w:val="Tableheading"/>
    <w:rsid w:val="005D55C8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2CFF6-80B1-46C1-A69B-05F09706669F}"/>
</file>

<file path=customXml/itemProps3.xml><?xml version="1.0" encoding="utf-8"?>
<ds:datastoreItem xmlns:ds="http://schemas.openxmlformats.org/officeDocument/2006/customXml" ds:itemID="{AC185667-9220-4E4C-9BEE-C2E4D601B0BD}"/>
</file>

<file path=customXml/itemProps4.xml><?xml version="1.0" encoding="utf-8"?>
<ds:datastoreItem xmlns:ds="http://schemas.openxmlformats.org/officeDocument/2006/customXml" ds:itemID="{B67FAE0C-CC5F-4849-9639-4B4FC46363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3 Reflecting on rules</dc:title>
  <dc:subject>Year 3 Units of work</dc:subject>
  <dc:creator>Parliamentary Education Office</dc:creator>
  <cp:lastModifiedBy>Halliday, Helene (SEN)</cp:lastModifiedBy>
  <cp:revision>3</cp:revision>
  <dcterms:created xsi:type="dcterms:W3CDTF">2025-02-20T22:34:00Z</dcterms:created>
  <dcterms:modified xsi:type="dcterms:W3CDTF">2025-07-08T06:07:19Z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