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69FC" w14:textId="77777777" w:rsidR="00E26DC5" w:rsidRPr="00930F18" w:rsidRDefault="00E26DC5" w:rsidP="00271584">
      <w:pPr>
        <w:pStyle w:val="Heading1"/>
      </w:pPr>
      <w:r w:rsidRPr="00930F18">
        <w:t>Scenarios</w:t>
      </w:r>
    </w:p>
    <w:p w14:paraId="3FAE9A99" w14:textId="77777777" w:rsidR="00E26DC5" w:rsidRPr="00D5626C" w:rsidRDefault="00E26DC5" w:rsidP="00271584">
      <w:pPr>
        <w:pStyle w:val="Introduction"/>
      </w:pPr>
      <w:r w:rsidRPr="00D5626C">
        <w:t>Use these scenarios to help your students complete the Explore the three levels of government classroom activity.</w:t>
      </w:r>
    </w:p>
    <w:tbl>
      <w:tblPr>
        <w:tblStyle w:val="TableGrid"/>
        <w:tblpPr w:leftFromText="180" w:rightFromText="180" w:vertAnchor="text" w:horzAnchor="margin" w:tblpY="194"/>
        <w:tblW w:w="9214" w:type="dxa"/>
        <w:tblBorders>
          <w:top w:val="dashed" w:sz="4" w:space="0" w:color="333132" w:themeColor="accent2"/>
          <w:left w:val="none" w:sz="0" w:space="0" w:color="auto"/>
          <w:bottom w:val="dashed" w:sz="4" w:space="0" w:color="333132" w:themeColor="accent2"/>
          <w:right w:val="none" w:sz="0" w:space="0" w:color="auto"/>
          <w:insideH w:val="dashed" w:sz="4" w:space="0" w:color="333132" w:themeColor="accent2"/>
          <w:insideV w:val="dashed" w:sz="4" w:space="0" w:color="333132" w:themeColor="accent2"/>
        </w:tblBorders>
        <w:tblCellMar>
          <w:top w:w="198" w:type="dxa"/>
          <w:left w:w="0" w:type="dxa"/>
          <w:bottom w:w="198" w:type="dxa"/>
          <w:right w:w="0" w:type="dxa"/>
        </w:tblCellMar>
        <w:tblLook w:val="04A0" w:firstRow="1" w:lastRow="0" w:firstColumn="1" w:lastColumn="0" w:noHBand="0" w:noVBand="1"/>
      </w:tblPr>
      <w:tblGrid>
        <w:gridCol w:w="9214"/>
      </w:tblGrid>
      <w:tr w:rsidR="000D0449" w14:paraId="52323FA6" w14:textId="77777777" w:rsidTr="00271584">
        <w:tc>
          <w:tcPr>
            <w:tcW w:w="9214" w:type="dxa"/>
          </w:tcPr>
          <w:p w14:paraId="127A69BE" w14:textId="77777777" w:rsidR="000D0449" w:rsidRPr="00086C45" w:rsidRDefault="000D0449" w:rsidP="00074273">
            <w:pPr>
              <w:pStyle w:val="Heading2"/>
            </w:pPr>
            <w:r w:rsidRPr="00086C45">
              <w:t>Centenary of Parliament moving to Canberra</w:t>
            </w:r>
          </w:p>
          <w:p w14:paraId="7D376BDF" w14:textId="4D3A68E9" w:rsidR="000D0449" w:rsidRDefault="12B5BC76" w:rsidP="00271584">
            <w:r w:rsidRPr="31E97563">
              <w:t xml:space="preserve">More than 500 000 people will visit Australia’s capital to celebrate the centenary of the federal Parliament’s move from Melbourne to Canberra. Celebrations will occur throughout the month of </w:t>
            </w:r>
            <w:r w:rsidR="22E5EBB9" w:rsidRPr="31E97563">
              <w:t>May, and</w:t>
            </w:r>
            <w:r w:rsidRPr="31E97563">
              <w:t xml:space="preserve"> include visits by important dignitaries.</w:t>
            </w:r>
          </w:p>
        </w:tc>
      </w:tr>
      <w:tr w:rsidR="000D0449" w14:paraId="05FD4E05" w14:textId="77777777" w:rsidTr="00271584">
        <w:tc>
          <w:tcPr>
            <w:tcW w:w="9214" w:type="dxa"/>
          </w:tcPr>
          <w:p w14:paraId="6CC0A409" w14:textId="77777777" w:rsidR="000D0449" w:rsidRPr="00444BBC" w:rsidRDefault="000D0449" w:rsidP="00074273">
            <w:pPr>
              <w:pStyle w:val="Heading2"/>
            </w:pPr>
            <w:r w:rsidRPr="00444BBC">
              <w:t>Commonwealth Heads of Government Meeting in Adelaide</w:t>
            </w:r>
          </w:p>
          <w:p w14:paraId="3561DA37" w14:textId="41075038" w:rsidR="000D0449" w:rsidRDefault="000D0449" w:rsidP="00271584">
            <w:pPr>
              <w:pStyle w:val="NoSpacing"/>
            </w:pPr>
            <w:r w:rsidRPr="00444BBC">
              <w:t>The heads of the governments of the 16 nations that make up the Commonwealth will be meeting in Adelaide. The meeting will also be attended by members of the royal family and, of</w:t>
            </w:r>
            <w:r w:rsidR="00271584">
              <w:t> </w:t>
            </w:r>
            <w:r w:rsidRPr="00444BBC">
              <w:t>course, a large number of protestors.</w:t>
            </w:r>
          </w:p>
        </w:tc>
      </w:tr>
      <w:tr w:rsidR="000D0449" w14:paraId="3E93480F" w14:textId="77777777" w:rsidTr="00271584">
        <w:tc>
          <w:tcPr>
            <w:tcW w:w="9214" w:type="dxa"/>
          </w:tcPr>
          <w:p w14:paraId="61A6C7B8" w14:textId="5E74E1FD" w:rsidR="000D0449" w:rsidRPr="00444BBC" w:rsidRDefault="000D0449" w:rsidP="00271584">
            <w:pPr>
              <w:pStyle w:val="Heading2"/>
            </w:pPr>
            <w:r w:rsidRPr="00444BBC">
              <w:t xml:space="preserve">Cyclone in </w:t>
            </w:r>
            <w:r w:rsidR="007058B0">
              <w:t>Darwin</w:t>
            </w:r>
          </w:p>
          <w:p w14:paraId="5648B6A2" w14:textId="66ACE41B" w:rsidR="000D0449" w:rsidRDefault="12B5BC76" w:rsidP="00271584">
            <w:pPr>
              <w:pStyle w:val="NoSpacing"/>
            </w:pPr>
            <w:r w:rsidRPr="31E97563">
              <w:t xml:space="preserve">A category 4 cyclone is just days away from the Northern Territory. It is going to hit Darwin, which has a population of more than 100 000 people. The </w:t>
            </w:r>
            <w:r w:rsidR="4F4A3CF1" w:rsidRPr="31E97563">
              <w:t>winds will</w:t>
            </w:r>
            <w:r w:rsidR="167E6571" w:rsidRPr="31E97563">
              <w:t xml:space="preserve"> be</w:t>
            </w:r>
            <w:r w:rsidR="49F6471F" w:rsidRPr="31E97563">
              <w:t xml:space="preserve"> </w:t>
            </w:r>
            <w:r w:rsidRPr="31E97563">
              <w:t>strong enough to destroy buildings, and the cyclone is likely to cause flooding across the city.</w:t>
            </w:r>
          </w:p>
        </w:tc>
      </w:tr>
      <w:tr w:rsidR="000D0449" w14:paraId="2C2DE668" w14:textId="77777777" w:rsidTr="00271584">
        <w:tc>
          <w:tcPr>
            <w:tcW w:w="9214" w:type="dxa"/>
          </w:tcPr>
          <w:p w14:paraId="33402DCF" w14:textId="77777777" w:rsidR="000D0449" w:rsidRPr="00444BBC" w:rsidRDefault="000D0449" w:rsidP="00271584">
            <w:pPr>
              <w:pStyle w:val="Heading2"/>
            </w:pPr>
            <w:r w:rsidRPr="00444BBC">
              <w:t>Bushfires in Tasmania</w:t>
            </w:r>
          </w:p>
          <w:p w14:paraId="402A272E" w14:textId="5094FCA3" w:rsidR="000D0449" w:rsidRDefault="000D0449" w:rsidP="00271584">
            <w:pPr>
              <w:pStyle w:val="NoSpacing"/>
            </w:pPr>
            <w:r w:rsidRPr="00444BBC">
              <w:t>After a dry winter, a fire danger rating of ‘extreme’ has been declared across the state of Tasmania. Weather conditions are hot and windy, meaning that the danger could be upgraded to ‘catastrophic’ very quickly. Small fires have broken out near St Helen’s (population 1500) and may</w:t>
            </w:r>
            <w:r w:rsidR="00BF6381">
              <w:t> </w:t>
            </w:r>
            <w:r w:rsidRPr="00444BBC">
              <w:t>spread.</w:t>
            </w:r>
          </w:p>
        </w:tc>
      </w:tr>
      <w:tr w:rsidR="000D0449" w14:paraId="223ACAEA" w14:textId="77777777" w:rsidTr="00271584">
        <w:tc>
          <w:tcPr>
            <w:tcW w:w="9214" w:type="dxa"/>
          </w:tcPr>
          <w:p w14:paraId="77ECDD53" w14:textId="77777777" w:rsidR="000D0449" w:rsidRPr="00444BBC" w:rsidRDefault="000D0449" w:rsidP="00271584">
            <w:pPr>
              <w:pStyle w:val="Heading2"/>
            </w:pPr>
            <w:r w:rsidRPr="00444BBC">
              <w:t>Olympics in Perth</w:t>
            </w:r>
          </w:p>
          <w:p w14:paraId="54F3A62C" w14:textId="77777777" w:rsidR="000D0449" w:rsidRDefault="000D0449" w:rsidP="00271584">
            <w:pPr>
              <w:pStyle w:val="NoSpacing"/>
            </w:pPr>
            <w:r w:rsidRPr="00444BBC">
              <w:t>Perth has won the bid to host the next summer Olympic Games. Athletes will be coming from all over the world to compete, and up to two million people may visit the city to watch the games over the five weeks.</w:t>
            </w:r>
            <w:r>
              <w:t xml:space="preserve"> </w:t>
            </w:r>
          </w:p>
        </w:tc>
      </w:tr>
      <w:tr w:rsidR="000D0449" w14:paraId="13B6285D" w14:textId="77777777" w:rsidTr="00271584">
        <w:tc>
          <w:tcPr>
            <w:tcW w:w="9214" w:type="dxa"/>
          </w:tcPr>
          <w:p w14:paraId="5EB492EE" w14:textId="3564F014" w:rsidR="00F86CEA" w:rsidRPr="00444BBC" w:rsidRDefault="00F86CEA" w:rsidP="00271584">
            <w:pPr>
              <w:pStyle w:val="Heading2"/>
            </w:pPr>
            <w:r w:rsidRPr="00444BBC">
              <w:t xml:space="preserve">Flooding in Sydney </w:t>
            </w:r>
          </w:p>
          <w:p w14:paraId="4487402F" w14:textId="19B56371" w:rsidR="000D0449" w:rsidRDefault="00F86CEA" w:rsidP="00271584">
            <w:pPr>
              <w:pStyle w:val="NoSpacing"/>
            </w:pPr>
            <w:r w:rsidRPr="00444BBC">
              <w:t>Severe weather has caused flooding in the centre of Sydney, affecting around 1 million people. Shops, businesses and government buildings are affected, as well as roads and the public transport system.</w:t>
            </w:r>
          </w:p>
        </w:tc>
      </w:tr>
      <w:tr w:rsidR="000D0449" w14:paraId="36555192" w14:textId="77777777" w:rsidTr="00271584">
        <w:tc>
          <w:tcPr>
            <w:tcW w:w="9214" w:type="dxa"/>
          </w:tcPr>
          <w:p w14:paraId="61463B6D" w14:textId="34F76601" w:rsidR="0073098B" w:rsidRPr="00444BBC" w:rsidRDefault="0073098B" w:rsidP="00271584">
            <w:pPr>
              <w:pStyle w:val="Heading2"/>
            </w:pPr>
            <w:r w:rsidRPr="00444BBC">
              <w:t xml:space="preserve">Student protests in Brisbane </w:t>
            </w:r>
          </w:p>
          <w:p w14:paraId="4E3730BB" w14:textId="07CFDA11" w:rsidR="000D0449" w:rsidRDefault="0073098B" w:rsidP="00271584">
            <w:pPr>
              <w:pStyle w:val="NoSpacing"/>
            </w:pPr>
            <w:r w:rsidRPr="00444BBC">
              <w:t>Thousands of students are taking to the streets in Brisbane to protest standardised testing in</w:t>
            </w:r>
            <w:r w:rsidR="00271584">
              <w:t> </w:t>
            </w:r>
            <w:r w:rsidRPr="00444BBC">
              <w:t>schools. The planned protest march will go all day and may disrupt traffic in the centre of the</w:t>
            </w:r>
            <w:r w:rsidR="00271584">
              <w:t> </w:t>
            </w:r>
            <w:r w:rsidRPr="00444BBC">
              <w:t>city</w:t>
            </w:r>
            <w:r w:rsidR="007129F7">
              <w:t>.</w:t>
            </w:r>
          </w:p>
        </w:tc>
      </w:tr>
    </w:tbl>
    <w:p w14:paraId="72907F1C" w14:textId="02EA76C8" w:rsidR="00FC20CD" w:rsidRPr="007129F7" w:rsidRDefault="00FC20CD" w:rsidP="007129F7">
      <w:pPr>
        <w:rPr>
          <w:sz w:val="4"/>
          <w:szCs w:val="4"/>
        </w:rPr>
      </w:pPr>
    </w:p>
    <w:sectPr w:rsidR="00FC20CD" w:rsidRPr="007129F7" w:rsidSect="000E587E">
      <w:footerReference w:type="default" r:id="rId11"/>
      <w:headerReference w:type="first" r:id="rId12"/>
      <w:footerReference w:type="first" r:id="rId13"/>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2AA8" w14:textId="77777777" w:rsidR="009571DA" w:rsidRDefault="009571DA" w:rsidP="00412C93">
      <w:pPr>
        <w:spacing w:after="0" w:line="240" w:lineRule="auto"/>
      </w:pPr>
      <w:r>
        <w:separator/>
      </w:r>
    </w:p>
  </w:endnote>
  <w:endnote w:type="continuationSeparator" w:id="0">
    <w:p w14:paraId="3AB76B19" w14:textId="77777777" w:rsidR="009571DA" w:rsidRDefault="009571DA" w:rsidP="00412C93">
      <w:pPr>
        <w:spacing w:after="0" w:line="240" w:lineRule="auto"/>
      </w:pPr>
      <w:r>
        <w:continuationSeparator/>
      </w:r>
    </w:p>
  </w:endnote>
  <w:endnote w:type="continuationNotice" w:id="1">
    <w:p w14:paraId="3FA40C16" w14:textId="77777777" w:rsidR="009571DA" w:rsidRDefault="00957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58243"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CC5B910">
            <v:line id="Straight Connector 2"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375B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14:paraId="203F0AA8" w14:textId="67C318D1"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241"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DDCD2A5">
            <v:line id="Straight Connector 8"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5BC6B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14:paraId="46EC4AA0" w14:textId="29360C84" w:rsidR="00337D9F" w:rsidRPr="005E1079" w:rsidRDefault="00337D9F" w:rsidP="00337D9F">
    <w:pPr>
      <w:pStyle w:val="Footer"/>
      <w:tabs>
        <w:tab w:val="clear" w:pos="4513"/>
      </w:tabs>
      <w:rPr>
        <w:rFonts w:cstheme="minorHAnsi"/>
        <w:color w:val="676365" w:themeColor="text1" w:themeTint="BF"/>
        <w:sz w:val="16"/>
        <w:szCs w:val="16"/>
      </w:rPr>
    </w:pPr>
    <w:r w:rsidRPr="005E1079">
      <w:rPr>
        <w:rFonts w:cstheme="minorHAnsi"/>
        <w:color w:val="676365" w:themeColor="text1" w:themeTint="BF"/>
        <w:sz w:val="16"/>
        <w:szCs w:val="16"/>
      </w:rPr>
      <w:tab/>
      <w:t xml:space="preserve">Teach &gt; Classroom activities &gt; </w:t>
    </w:r>
    <w:r w:rsidR="00390DE9" w:rsidRPr="005E1079">
      <w:rPr>
        <w:rFonts w:cstheme="minorHAnsi"/>
        <w:color w:val="676365" w:themeColor="text1" w:themeTint="BF"/>
        <w:sz w:val="16"/>
        <w:szCs w:val="16"/>
      </w:rPr>
      <w:softHyphen/>
    </w:r>
    <w:r w:rsidR="00390DE9" w:rsidRPr="005E1079">
      <w:rPr>
        <w:rFonts w:cstheme="minorHAnsi"/>
        <w:color w:val="676365" w:themeColor="text1" w:themeTint="BF"/>
        <w:sz w:val="16"/>
        <w:szCs w:val="16"/>
      </w:rPr>
      <w:softHyphen/>
    </w:r>
    <w:r w:rsidR="000D71DC" w:rsidRPr="005E1079">
      <w:rPr>
        <w:rFonts w:cstheme="minorHAnsi"/>
        <w:color w:val="676365" w:themeColor="text1" w:themeTint="BF"/>
        <w:sz w:val="16"/>
        <w:szCs w:val="16"/>
      </w:rPr>
      <w:t>How Parliament works</w:t>
    </w:r>
    <w:r w:rsidRPr="005E1079">
      <w:rPr>
        <w:rFonts w:cstheme="minorHAnsi"/>
        <w:color w:val="676365" w:themeColor="text1" w:themeTint="BF"/>
        <w:sz w:val="16"/>
        <w:szCs w:val="16"/>
      </w:rPr>
      <w:t xml:space="preserve"> &gt; </w:t>
    </w:r>
    <w:r w:rsidR="000D71DC" w:rsidRPr="005E1079">
      <w:rPr>
        <w:rFonts w:cstheme="minorHAnsi"/>
        <w:color w:val="676365" w:themeColor="text1" w:themeTint="BF"/>
        <w:sz w:val="16"/>
        <w:szCs w:val="16"/>
      </w:rPr>
      <w:t>Explore the three levels of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CA3B" w14:textId="77777777" w:rsidR="009571DA" w:rsidRDefault="009571DA" w:rsidP="00412C93">
      <w:pPr>
        <w:spacing w:after="0" w:line="240" w:lineRule="auto"/>
      </w:pPr>
      <w:r>
        <w:separator/>
      </w:r>
    </w:p>
  </w:footnote>
  <w:footnote w:type="continuationSeparator" w:id="0">
    <w:p w14:paraId="2D16FAE8" w14:textId="77777777" w:rsidR="009571DA" w:rsidRDefault="009571DA" w:rsidP="00412C93">
      <w:pPr>
        <w:spacing w:after="0" w:line="240" w:lineRule="auto"/>
      </w:pPr>
      <w:r>
        <w:continuationSeparator/>
      </w:r>
    </w:p>
  </w:footnote>
  <w:footnote w:type="continuationNotice" w:id="1">
    <w:p w14:paraId="6B77A018" w14:textId="77777777" w:rsidR="009571DA" w:rsidRDefault="00957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Pr="005E1079" w:rsidRDefault="00E001D4" w:rsidP="00E001D4">
    <w:pPr>
      <w:pStyle w:val="Title"/>
      <w:tabs>
        <w:tab w:val="clear" w:pos="9072"/>
        <w:tab w:val="left" w:pos="3600"/>
        <w:tab w:val="right" w:pos="8931"/>
      </w:tabs>
      <w:rPr>
        <w:rFonts w:asciiTheme="minorHAnsi" w:hAnsiTheme="minorHAnsi" w:cstheme="minorHAnsi"/>
        <w:noProof/>
        <w:lang w:eastAsia="en-AU"/>
      </w:rPr>
    </w:pPr>
    <w:bookmarkStart w:id="0" w:name="_Hlk42595341"/>
    <w:bookmarkStart w:id="1" w:name="_Hlk42595342"/>
    <w:bookmarkStart w:id="2" w:name="_Hlk42595489"/>
    <w:bookmarkStart w:id="3" w:name="_Hlk42595490"/>
    <w:r w:rsidRPr="0040582C">
      <w:rPr>
        <w:rFonts w:ascii="Nunito Sans" w:hAnsi="Nunito Sans"/>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40582C">
      <w:rPr>
        <w:rFonts w:ascii="Nunito Sans" w:hAnsi="Nunito Sans"/>
      </w:rPr>
      <w:t xml:space="preserve"> </w:t>
    </w:r>
    <w:r w:rsidRPr="0040582C">
      <w:rPr>
        <w:rFonts w:ascii="Nunito Sans" w:hAnsi="Nunito Sans"/>
      </w:rPr>
      <w:tab/>
    </w:r>
    <w:r w:rsidRPr="0040582C">
      <w:rPr>
        <w:rFonts w:ascii="Nunito Sans" w:hAnsi="Nunito Sans"/>
      </w:rPr>
      <w:tab/>
    </w:r>
    <w:hyperlink r:id="rId3" w:history="1">
      <w:r w:rsidRPr="005E1079">
        <w:rPr>
          <w:rStyle w:val="Hyperlink"/>
          <w:rFonts w:asciiTheme="minorHAnsi" w:hAnsiTheme="minorHAnsi" w:cstheme="min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8242"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E919743">
            <v:line id="Straight Connector 1"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34CBC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8240"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69E9F75">
            <v:line id="Straight Connector 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05]" strokeweight="1pt" from="-.25pt,6.8pt" to="446.65pt,6.8pt" w14:anchorId="2D51F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4589426">
    <w:abstractNumId w:val="1"/>
  </w:num>
  <w:num w:numId="2" w16cid:durableId="2030833417">
    <w:abstractNumId w:val="3"/>
  </w:num>
  <w:num w:numId="3" w16cid:durableId="1461534376">
    <w:abstractNumId w:val="0"/>
  </w:num>
  <w:num w:numId="4" w16cid:durableId="1939676089">
    <w:abstractNumId w:val="2"/>
  </w:num>
  <w:num w:numId="5" w16cid:durableId="91162437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63C9"/>
    <w:rsid w:val="00034A24"/>
    <w:rsid w:val="00040353"/>
    <w:rsid w:val="00043346"/>
    <w:rsid w:val="00047036"/>
    <w:rsid w:val="000568D0"/>
    <w:rsid w:val="00064D47"/>
    <w:rsid w:val="00074273"/>
    <w:rsid w:val="00083742"/>
    <w:rsid w:val="00086512"/>
    <w:rsid w:val="00086C45"/>
    <w:rsid w:val="00091D71"/>
    <w:rsid w:val="000961D8"/>
    <w:rsid w:val="00096C78"/>
    <w:rsid w:val="000A022F"/>
    <w:rsid w:val="000A6444"/>
    <w:rsid w:val="000A7D3E"/>
    <w:rsid w:val="000B1F5F"/>
    <w:rsid w:val="000C246B"/>
    <w:rsid w:val="000D0449"/>
    <w:rsid w:val="000D15C8"/>
    <w:rsid w:val="000D4199"/>
    <w:rsid w:val="000D71DC"/>
    <w:rsid w:val="000E17DA"/>
    <w:rsid w:val="000E1957"/>
    <w:rsid w:val="000E4D17"/>
    <w:rsid w:val="000E587E"/>
    <w:rsid w:val="000E5D14"/>
    <w:rsid w:val="000E7C91"/>
    <w:rsid w:val="000F14A8"/>
    <w:rsid w:val="000F3D14"/>
    <w:rsid w:val="000F5B9E"/>
    <w:rsid w:val="000F7CAA"/>
    <w:rsid w:val="00103C80"/>
    <w:rsid w:val="001050AC"/>
    <w:rsid w:val="00105669"/>
    <w:rsid w:val="0011164E"/>
    <w:rsid w:val="001138F3"/>
    <w:rsid w:val="00114740"/>
    <w:rsid w:val="00114D60"/>
    <w:rsid w:val="00116335"/>
    <w:rsid w:val="00121631"/>
    <w:rsid w:val="00124A23"/>
    <w:rsid w:val="00125340"/>
    <w:rsid w:val="0012561F"/>
    <w:rsid w:val="00125A27"/>
    <w:rsid w:val="001272CE"/>
    <w:rsid w:val="00132BF6"/>
    <w:rsid w:val="001337F2"/>
    <w:rsid w:val="0014392A"/>
    <w:rsid w:val="00145459"/>
    <w:rsid w:val="001467FF"/>
    <w:rsid w:val="0015331A"/>
    <w:rsid w:val="001550DD"/>
    <w:rsid w:val="00156A4F"/>
    <w:rsid w:val="00156F64"/>
    <w:rsid w:val="001571BE"/>
    <w:rsid w:val="00160D61"/>
    <w:rsid w:val="00161C74"/>
    <w:rsid w:val="00163452"/>
    <w:rsid w:val="001703CE"/>
    <w:rsid w:val="00173B3B"/>
    <w:rsid w:val="00176C78"/>
    <w:rsid w:val="00176E1C"/>
    <w:rsid w:val="0018076A"/>
    <w:rsid w:val="00181C1E"/>
    <w:rsid w:val="0019008A"/>
    <w:rsid w:val="001911B1"/>
    <w:rsid w:val="001A2304"/>
    <w:rsid w:val="001A5A1E"/>
    <w:rsid w:val="001A5B3D"/>
    <w:rsid w:val="001B1A12"/>
    <w:rsid w:val="001B3AAD"/>
    <w:rsid w:val="001B56EC"/>
    <w:rsid w:val="001C4F9A"/>
    <w:rsid w:val="001C5975"/>
    <w:rsid w:val="001C5FCD"/>
    <w:rsid w:val="001D03C5"/>
    <w:rsid w:val="001D126B"/>
    <w:rsid w:val="001D3E21"/>
    <w:rsid w:val="001D5CA5"/>
    <w:rsid w:val="001D7BB1"/>
    <w:rsid w:val="001E18D3"/>
    <w:rsid w:val="001E66E5"/>
    <w:rsid w:val="001E6D26"/>
    <w:rsid w:val="001F5AB3"/>
    <w:rsid w:val="002010A8"/>
    <w:rsid w:val="002032FB"/>
    <w:rsid w:val="00204808"/>
    <w:rsid w:val="0020586F"/>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1584"/>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D599C"/>
    <w:rsid w:val="002E6EBE"/>
    <w:rsid w:val="002F4114"/>
    <w:rsid w:val="002F5059"/>
    <w:rsid w:val="00307750"/>
    <w:rsid w:val="00310D78"/>
    <w:rsid w:val="00311D0B"/>
    <w:rsid w:val="00317347"/>
    <w:rsid w:val="00337D9F"/>
    <w:rsid w:val="00341D33"/>
    <w:rsid w:val="00344084"/>
    <w:rsid w:val="00350B1D"/>
    <w:rsid w:val="00354CBF"/>
    <w:rsid w:val="00355BA8"/>
    <w:rsid w:val="0036281B"/>
    <w:rsid w:val="003660CC"/>
    <w:rsid w:val="0037372C"/>
    <w:rsid w:val="00375D92"/>
    <w:rsid w:val="00375E9C"/>
    <w:rsid w:val="00386E38"/>
    <w:rsid w:val="003873F2"/>
    <w:rsid w:val="003876A8"/>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4BB6"/>
    <w:rsid w:val="003F50A8"/>
    <w:rsid w:val="003F50D6"/>
    <w:rsid w:val="003F597D"/>
    <w:rsid w:val="003F603F"/>
    <w:rsid w:val="003F6F7F"/>
    <w:rsid w:val="00402E27"/>
    <w:rsid w:val="004049C4"/>
    <w:rsid w:val="0040582C"/>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4BBC"/>
    <w:rsid w:val="00446224"/>
    <w:rsid w:val="00446659"/>
    <w:rsid w:val="00447DCA"/>
    <w:rsid w:val="00452742"/>
    <w:rsid w:val="00455090"/>
    <w:rsid w:val="004573B9"/>
    <w:rsid w:val="00464231"/>
    <w:rsid w:val="00466270"/>
    <w:rsid w:val="004664E3"/>
    <w:rsid w:val="004679B0"/>
    <w:rsid w:val="00470BBA"/>
    <w:rsid w:val="004717EB"/>
    <w:rsid w:val="0047243B"/>
    <w:rsid w:val="00473770"/>
    <w:rsid w:val="00480979"/>
    <w:rsid w:val="00480C95"/>
    <w:rsid w:val="00480D12"/>
    <w:rsid w:val="00484B09"/>
    <w:rsid w:val="00487ACF"/>
    <w:rsid w:val="004935C6"/>
    <w:rsid w:val="00495129"/>
    <w:rsid w:val="004A1494"/>
    <w:rsid w:val="004A25D1"/>
    <w:rsid w:val="004B4BA2"/>
    <w:rsid w:val="004B6B2F"/>
    <w:rsid w:val="004B7243"/>
    <w:rsid w:val="004C018D"/>
    <w:rsid w:val="004C03D0"/>
    <w:rsid w:val="004C13A0"/>
    <w:rsid w:val="004C1843"/>
    <w:rsid w:val="004C2C48"/>
    <w:rsid w:val="004C704C"/>
    <w:rsid w:val="004D25F9"/>
    <w:rsid w:val="004D4E8D"/>
    <w:rsid w:val="004D5742"/>
    <w:rsid w:val="004D6260"/>
    <w:rsid w:val="004E208C"/>
    <w:rsid w:val="004E69A4"/>
    <w:rsid w:val="004F30F8"/>
    <w:rsid w:val="004F567F"/>
    <w:rsid w:val="00500743"/>
    <w:rsid w:val="00501063"/>
    <w:rsid w:val="005022F6"/>
    <w:rsid w:val="00502360"/>
    <w:rsid w:val="00506658"/>
    <w:rsid w:val="0050743F"/>
    <w:rsid w:val="00513E84"/>
    <w:rsid w:val="00516D2E"/>
    <w:rsid w:val="00520031"/>
    <w:rsid w:val="0052019C"/>
    <w:rsid w:val="00520810"/>
    <w:rsid w:val="005209DE"/>
    <w:rsid w:val="00521C19"/>
    <w:rsid w:val="00522D67"/>
    <w:rsid w:val="00527717"/>
    <w:rsid w:val="00530694"/>
    <w:rsid w:val="00533402"/>
    <w:rsid w:val="00537AFC"/>
    <w:rsid w:val="005424D3"/>
    <w:rsid w:val="00544D7E"/>
    <w:rsid w:val="00552990"/>
    <w:rsid w:val="0055563A"/>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1079"/>
    <w:rsid w:val="005E71FA"/>
    <w:rsid w:val="005F1D30"/>
    <w:rsid w:val="005F3779"/>
    <w:rsid w:val="005F393E"/>
    <w:rsid w:val="00600AD3"/>
    <w:rsid w:val="00604155"/>
    <w:rsid w:val="006053DF"/>
    <w:rsid w:val="0060646D"/>
    <w:rsid w:val="0060655A"/>
    <w:rsid w:val="00607BB1"/>
    <w:rsid w:val="0061043B"/>
    <w:rsid w:val="0061400C"/>
    <w:rsid w:val="00615030"/>
    <w:rsid w:val="00615DA0"/>
    <w:rsid w:val="0061674C"/>
    <w:rsid w:val="006173FD"/>
    <w:rsid w:val="00626BB1"/>
    <w:rsid w:val="00626E3F"/>
    <w:rsid w:val="00634705"/>
    <w:rsid w:val="00635FF2"/>
    <w:rsid w:val="00641E32"/>
    <w:rsid w:val="00643401"/>
    <w:rsid w:val="00643790"/>
    <w:rsid w:val="006503AD"/>
    <w:rsid w:val="00651A17"/>
    <w:rsid w:val="006601DC"/>
    <w:rsid w:val="00660D45"/>
    <w:rsid w:val="00662B18"/>
    <w:rsid w:val="00664E3B"/>
    <w:rsid w:val="00664F8F"/>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8B0"/>
    <w:rsid w:val="00705CCA"/>
    <w:rsid w:val="007129F7"/>
    <w:rsid w:val="00712B62"/>
    <w:rsid w:val="00712B90"/>
    <w:rsid w:val="00712C45"/>
    <w:rsid w:val="00714A1A"/>
    <w:rsid w:val="00726099"/>
    <w:rsid w:val="0073098B"/>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3588"/>
    <w:rsid w:val="00804CC3"/>
    <w:rsid w:val="00811830"/>
    <w:rsid w:val="0081442F"/>
    <w:rsid w:val="00814A0E"/>
    <w:rsid w:val="00824BC6"/>
    <w:rsid w:val="008251CD"/>
    <w:rsid w:val="008363DC"/>
    <w:rsid w:val="008401FA"/>
    <w:rsid w:val="0084049D"/>
    <w:rsid w:val="008462CB"/>
    <w:rsid w:val="00846A48"/>
    <w:rsid w:val="00847E10"/>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E1C7E"/>
    <w:rsid w:val="008E1F50"/>
    <w:rsid w:val="008E7368"/>
    <w:rsid w:val="008F4126"/>
    <w:rsid w:val="008F494E"/>
    <w:rsid w:val="008F5C69"/>
    <w:rsid w:val="008F7B27"/>
    <w:rsid w:val="0090085E"/>
    <w:rsid w:val="00901984"/>
    <w:rsid w:val="0090250F"/>
    <w:rsid w:val="00914389"/>
    <w:rsid w:val="009149EF"/>
    <w:rsid w:val="009158A2"/>
    <w:rsid w:val="00917C52"/>
    <w:rsid w:val="00922710"/>
    <w:rsid w:val="00924716"/>
    <w:rsid w:val="00930F18"/>
    <w:rsid w:val="009325F6"/>
    <w:rsid w:val="009326EC"/>
    <w:rsid w:val="00932BB7"/>
    <w:rsid w:val="00940D6C"/>
    <w:rsid w:val="00947E61"/>
    <w:rsid w:val="009500CC"/>
    <w:rsid w:val="009548D5"/>
    <w:rsid w:val="00956E30"/>
    <w:rsid w:val="009571DA"/>
    <w:rsid w:val="00963B39"/>
    <w:rsid w:val="00964CF8"/>
    <w:rsid w:val="00966DED"/>
    <w:rsid w:val="0097023B"/>
    <w:rsid w:val="00970355"/>
    <w:rsid w:val="00970903"/>
    <w:rsid w:val="009718D1"/>
    <w:rsid w:val="00971B39"/>
    <w:rsid w:val="00973AA1"/>
    <w:rsid w:val="00974D4F"/>
    <w:rsid w:val="00982750"/>
    <w:rsid w:val="0098419A"/>
    <w:rsid w:val="00984275"/>
    <w:rsid w:val="009860F0"/>
    <w:rsid w:val="009861BF"/>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6A13"/>
    <w:rsid w:val="00A572B5"/>
    <w:rsid w:val="00A61F50"/>
    <w:rsid w:val="00A635A9"/>
    <w:rsid w:val="00A64B0F"/>
    <w:rsid w:val="00A64F3E"/>
    <w:rsid w:val="00A70C8E"/>
    <w:rsid w:val="00A76DB8"/>
    <w:rsid w:val="00A86D7B"/>
    <w:rsid w:val="00A9040E"/>
    <w:rsid w:val="00A91DAF"/>
    <w:rsid w:val="00A971CD"/>
    <w:rsid w:val="00AA13EB"/>
    <w:rsid w:val="00AA4F16"/>
    <w:rsid w:val="00AA766E"/>
    <w:rsid w:val="00AA7CB0"/>
    <w:rsid w:val="00AB011E"/>
    <w:rsid w:val="00AB0237"/>
    <w:rsid w:val="00AB28BC"/>
    <w:rsid w:val="00AC1402"/>
    <w:rsid w:val="00AC33DF"/>
    <w:rsid w:val="00AC6130"/>
    <w:rsid w:val="00AC63E3"/>
    <w:rsid w:val="00AD44EC"/>
    <w:rsid w:val="00AD475F"/>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6B97"/>
    <w:rsid w:val="00BD072A"/>
    <w:rsid w:val="00BD3819"/>
    <w:rsid w:val="00BD4B95"/>
    <w:rsid w:val="00BE31AE"/>
    <w:rsid w:val="00BE3FC7"/>
    <w:rsid w:val="00BE43C8"/>
    <w:rsid w:val="00BE73FB"/>
    <w:rsid w:val="00BF118F"/>
    <w:rsid w:val="00BF1416"/>
    <w:rsid w:val="00BF3EDA"/>
    <w:rsid w:val="00BF6381"/>
    <w:rsid w:val="00BF71DF"/>
    <w:rsid w:val="00C01F1D"/>
    <w:rsid w:val="00C04976"/>
    <w:rsid w:val="00C0693C"/>
    <w:rsid w:val="00C10B7E"/>
    <w:rsid w:val="00C12C98"/>
    <w:rsid w:val="00C151D7"/>
    <w:rsid w:val="00C167EC"/>
    <w:rsid w:val="00C2274D"/>
    <w:rsid w:val="00C264EF"/>
    <w:rsid w:val="00C26C8B"/>
    <w:rsid w:val="00C31CD5"/>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A4FAA"/>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A7E"/>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5626C"/>
    <w:rsid w:val="00D60A45"/>
    <w:rsid w:val="00D71640"/>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E102B"/>
    <w:rsid w:val="00DF0F52"/>
    <w:rsid w:val="00DF14D6"/>
    <w:rsid w:val="00DF2871"/>
    <w:rsid w:val="00DF6C9E"/>
    <w:rsid w:val="00DF6D6D"/>
    <w:rsid w:val="00E001D4"/>
    <w:rsid w:val="00E02D2E"/>
    <w:rsid w:val="00E045A3"/>
    <w:rsid w:val="00E1073C"/>
    <w:rsid w:val="00E15050"/>
    <w:rsid w:val="00E157B7"/>
    <w:rsid w:val="00E203BC"/>
    <w:rsid w:val="00E22AE4"/>
    <w:rsid w:val="00E26369"/>
    <w:rsid w:val="00E26DC5"/>
    <w:rsid w:val="00E334E6"/>
    <w:rsid w:val="00E33D72"/>
    <w:rsid w:val="00E345E6"/>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5C9F"/>
    <w:rsid w:val="00EC75C5"/>
    <w:rsid w:val="00ED4638"/>
    <w:rsid w:val="00ED4C76"/>
    <w:rsid w:val="00ED4FD8"/>
    <w:rsid w:val="00ED566C"/>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0C55"/>
    <w:rsid w:val="00F73375"/>
    <w:rsid w:val="00F76DE1"/>
    <w:rsid w:val="00F8249B"/>
    <w:rsid w:val="00F86CEA"/>
    <w:rsid w:val="00F949EC"/>
    <w:rsid w:val="00F951BF"/>
    <w:rsid w:val="00F96AE2"/>
    <w:rsid w:val="00FA28D7"/>
    <w:rsid w:val="00FA6EA0"/>
    <w:rsid w:val="00FB47C0"/>
    <w:rsid w:val="00FB48D7"/>
    <w:rsid w:val="00FC20CD"/>
    <w:rsid w:val="00FD2BA5"/>
    <w:rsid w:val="00FD666B"/>
    <w:rsid w:val="00FE0E6B"/>
    <w:rsid w:val="00FE2F33"/>
    <w:rsid w:val="00FE6370"/>
    <w:rsid w:val="00FE6A0A"/>
    <w:rsid w:val="00FF0A94"/>
    <w:rsid w:val="00FF13B4"/>
    <w:rsid w:val="00FF2BE0"/>
    <w:rsid w:val="00FF2D3F"/>
    <w:rsid w:val="00FF2EFE"/>
    <w:rsid w:val="00FF4D29"/>
    <w:rsid w:val="0B0AE527"/>
    <w:rsid w:val="0CC5FDB1"/>
    <w:rsid w:val="0E5378D2"/>
    <w:rsid w:val="12B5BC76"/>
    <w:rsid w:val="167E6571"/>
    <w:rsid w:val="18E4F577"/>
    <w:rsid w:val="1C7E765C"/>
    <w:rsid w:val="20CA23E8"/>
    <w:rsid w:val="219048DB"/>
    <w:rsid w:val="22E5EBB9"/>
    <w:rsid w:val="2651B432"/>
    <w:rsid w:val="31E97563"/>
    <w:rsid w:val="34908369"/>
    <w:rsid w:val="40D5C7F1"/>
    <w:rsid w:val="49F6471F"/>
    <w:rsid w:val="4F4A3CF1"/>
    <w:rsid w:val="502635A0"/>
    <w:rsid w:val="50FA929B"/>
    <w:rsid w:val="664EE39A"/>
    <w:rsid w:val="72DD67CB"/>
    <w:rsid w:val="769F6B65"/>
    <w:rsid w:val="78AA5D4F"/>
    <w:rsid w:val="78F63CD8"/>
    <w:rsid w:val="7BF34583"/>
    <w:rsid w:val="7C4224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29C26483-5827-4182-8585-48F5EFDD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84"/>
    <w:pPr>
      <w:spacing w:after="120" w:line="288" w:lineRule="auto"/>
    </w:pPr>
    <w:rPr>
      <w:sz w:val="21"/>
      <w:szCs w:val="21"/>
    </w:rPr>
  </w:style>
  <w:style w:type="paragraph" w:styleId="Heading1">
    <w:name w:val="heading 1"/>
    <w:basedOn w:val="Normal"/>
    <w:next w:val="Normal"/>
    <w:link w:val="Heading1Char"/>
    <w:uiPriority w:val="9"/>
    <w:qFormat/>
    <w:rsid w:val="00271584"/>
    <w:pPr>
      <w:keepNext/>
      <w:keepLines/>
      <w:spacing w:before="360" w:after="60"/>
      <w:outlineLvl w:val="0"/>
    </w:pPr>
    <w:rPr>
      <w:rFonts w:eastAsiaTheme="majorEastAsia" w:cstheme="majorBidi"/>
      <w:b/>
      <w:bCs/>
      <w:sz w:val="36"/>
      <w:szCs w:val="36"/>
    </w:rPr>
  </w:style>
  <w:style w:type="paragraph" w:styleId="Heading2">
    <w:name w:val="heading 2"/>
    <w:basedOn w:val="Normal"/>
    <w:next w:val="Normal"/>
    <w:link w:val="Heading2Char"/>
    <w:uiPriority w:val="9"/>
    <w:qFormat/>
    <w:rsid w:val="00271584"/>
    <w:pPr>
      <w:keepNext/>
      <w:keepLines/>
      <w:spacing w:after="0"/>
      <w:outlineLvl w:val="1"/>
    </w:pPr>
    <w:rPr>
      <w:rFonts w:asciiTheme="majorHAnsi" w:eastAsiaTheme="majorEastAsia" w:hAnsiTheme="majorHAnsi" w:cstheme="majorBidi"/>
      <w:b/>
      <w:bCs/>
      <w:color w:val="007495" w:themeColor="accent1"/>
      <w:sz w:val="24"/>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271584"/>
    <w:rPr>
      <w:rFonts w:eastAsiaTheme="majorEastAsia" w:cstheme="majorBidi"/>
      <w:b/>
      <w:bCs/>
      <w:sz w:val="36"/>
      <w:szCs w:val="36"/>
    </w:rPr>
  </w:style>
  <w:style w:type="character" w:customStyle="1" w:styleId="Heading2Char">
    <w:name w:val="Heading 2 Char"/>
    <w:basedOn w:val="DefaultParagraphFont"/>
    <w:link w:val="Heading2"/>
    <w:uiPriority w:val="9"/>
    <w:rsid w:val="00271584"/>
    <w:rPr>
      <w:rFonts w:asciiTheme="majorHAnsi" w:eastAsiaTheme="majorEastAsia" w:hAnsiTheme="majorHAnsi" w:cstheme="majorBidi"/>
      <w:b/>
      <w:bCs/>
      <w:color w:val="007495" w:themeColor="accent1"/>
      <w:sz w:val="24"/>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271584"/>
    <w:pPr>
      <w:spacing w:after="0" w:line="28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271584"/>
    <w:rPr>
      <w:sz w:val="26"/>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271584"/>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styleId="Revision">
    <w:name w:val="Revision"/>
    <w:hidden/>
    <w:uiPriority w:val="99"/>
    <w:semiHidden/>
    <w:rsid w:val="00544D7E"/>
    <w:pPr>
      <w:spacing w:after="0" w:line="240" w:lineRule="auto"/>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2.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4.xml><?xml version="1.0" encoding="utf-8"?>
<ds:datastoreItem xmlns:ds="http://schemas.openxmlformats.org/officeDocument/2006/customXml" ds:itemID="{1D90B610-46E8-4607-85F5-62E6FAB2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292</Words>
  <Characters>1666</Characters>
  <Application>Microsoft Office Word</Application>
  <DocSecurity>0</DocSecurity>
  <Lines>13</Lines>
  <Paragraphs>3</Paragraphs>
  <ScaleCrop>false</ScaleCrop>
  <Company>Parliament of Australia</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keywords/>
  <cp:lastModifiedBy>Mackay, Wendy (SEN)</cp:lastModifiedBy>
  <cp:revision>30</cp:revision>
  <dcterms:created xsi:type="dcterms:W3CDTF">2024-08-16T19:00:00Z</dcterms:created>
  <dcterms:modified xsi:type="dcterms:W3CDTF">2025-09-25T03:37:00Z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